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67C5" w14:textId="677C7DBB" w:rsidR="009C090B" w:rsidRPr="00C52287" w:rsidRDefault="009E20AD" w:rsidP="004B47BE">
      <w:pPr>
        <w:jc w:val="center"/>
        <w:rPr>
          <w:b/>
          <w:bCs/>
          <w:sz w:val="28"/>
          <w:szCs w:val="28"/>
          <w:u w:val="single"/>
        </w:rPr>
      </w:pPr>
      <w:bookmarkStart w:id="0" w:name="_GoBack"/>
      <w:r w:rsidRPr="00C52287">
        <w:rPr>
          <w:b/>
          <w:bCs/>
          <w:sz w:val="28"/>
          <w:szCs w:val="28"/>
          <w:u w:val="single"/>
        </w:rPr>
        <w:t>MHCO Eviction Moratorium Update May 2021</w:t>
      </w:r>
      <w:r w:rsidR="004B47BE" w:rsidRPr="00C52287">
        <w:rPr>
          <w:b/>
          <w:bCs/>
          <w:sz w:val="28"/>
          <w:szCs w:val="28"/>
          <w:u w:val="single"/>
        </w:rPr>
        <w:t xml:space="preserve"> – After SB 282</w:t>
      </w:r>
      <w:r w:rsidR="00DA72DD" w:rsidRPr="00C52287">
        <w:rPr>
          <w:b/>
          <w:bCs/>
          <w:sz w:val="28"/>
          <w:szCs w:val="28"/>
          <w:u w:val="single"/>
        </w:rPr>
        <w:t xml:space="preserve"> </w:t>
      </w:r>
    </w:p>
    <w:p w14:paraId="7AEFBE68" w14:textId="5A6891B8" w:rsidR="00AA3FC7" w:rsidRPr="00C52287" w:rsidRDefault="00AA3FC7">
      <w:pPr>
        <w:rPr>
          <w:b/>
          <w:bCs/>
          <w:sz w:val="28"/>
          <w:szCs w:val="28"/>
          <w:u w:val="single"/>
        </w:rPr>
      </w:pPr>
    </w:p>
    <w:p w14:paraId="78AB1615" w14:textId="62E55F67" w:rsidR="00AA3FC7" w:rsidRPr="00B9552C" w:rsidRDefault="000466F0">
      <w:pPr>
        <w:rPr>
          <w:b/>
          <w:bCs/>
          <w:i/>
          <w:iCs/>
        </w:rPr>
      </w:pPr>
      <w:r w:rsidRPr="00B9552C">
        <w:rPr>
          <w:b/>
          <w:bCs/>
          <w:i/>
          <w:iCs/>
        </w:rPr>
        <w:t>[</w:t>
      </w:r>
      <w:r w:rsidR="00B9552C" w:rsidRPr="00B9552C">
        <w:rPr>
          <w:b/>
          <w:bCs/>
          <w:i/>
          <w:iCs/>
        </w:rPr>
        <w:t xml:space="preserve">NOTE: </w:t>
      </w:r>
      <w:r w:rsidR="00AA3FC7" w:rsidRPr="00B9552C">
        <w:rPr>
          <w:b/>
          <w:bCs/>
          <w:i/>
          <w:iCs/>
        </w:rPr>
        <w:t xml:space="preserve">Except where explicitly </w:t>
      </w:r>
      <w:r w:rsidR="00FF0C3C">
        <w:rPr>
          <w:b/>
          <w:bCs/>
          <w:i/>
          <w:iCs/>
        </w:rPr>
        <w:t>stated otherwise</w:t>
      </w:r>
      <w:r w:rsidR="00AA3FC7" w:rsidRPr="00B9552C">
        <w:rPr>
          <w:b/>
          <w:bCs/>
          <w:i/>
          <w:iCs/>
        </w:rPr>
        <w:t xml:space="preserve">, </w:t>
      </w:r>
      <w:r w:rsidR="00FF0C3C">
        <w:rPr>
          <w:b/>
          <w:bCs/>
          <w:i/>
          <w:iCs/>
        </w:rPr>
        <w:t xml:space="preserve">MHCO’s </w:t>
      </w:r>
      <w:r w:rsidR="00AA3FC7" w:rsidRPr="00B9552C">
        <w:rPr>
          <w:b/>
          <w:bCs/>
          <w:i/>
          <w:iCs/>
        </w:rPr>
        <w:t>prior guidance on HB 4401</w:t>
      </w:r>
      <w:r w:rsidR="00FF0C3C">
        <w:rPr>
          <w:b/>
          <w:bCs/>
          <w:i/>
          <w:iCs/>
        </w:rPr>
        <w:t xml:space="preserve"> still</w:t>
      </w:r>
      <w:r w:rsidR="00910716">
        <w:rPr>
          <w:b/>
          <w:bCs/>
          <w:i/>
          <w:iCs/>
        </w:rPr>
        <w:t xml:space="preserve"> </w:t>
      </w:r>
      <w:r w:rsidR="00FF0C3C">
        <w:rPr>
          <w:b/>
          <w:bCs/>
          <w:i/>
          <w:iCs/>
        </w:rPr>
        <w:t xml:space="preserve">applies </w:t>
      </w:r>
      <w:r w:rsidR="00AA3FC7" w:rsidRPr="00B9552C">
        <w:rPr>
          <w:b/>
          <w:bCs/>
          <w:i/>
          <w:iCs/>
        </w:rPr>
        <w:t>until July 1, 2021.</w:t>
      </w:r>
      <w:r w:rsidR="00B9552C" w:rsidRPr="00B9552C">
        <w:rPr>
          <w:b/>
          <w:bCs/>
          <w:i/>
          <w:iCs/>
        </w:rPr>
        <w:t>]</w:t>
      </w:r>
    </w:p>
    <w:p w14:paraId="3DA22BCC" w14:textId="11770F5F" w:rsidR="009E20AD" w:rsidRDefault="009E20AD"/>
    <w:p w14:paraId="1F957652" w14:textId="333BAB7F" w:rsidR="009E20AD" w:rsidRDefault="009E20AD" w:rsidP="000466F0">
      <w:pPr>
        <w:jc w:val="both"/>
      </w:pPr>
      <w:r>
        <w:t xml:space="preserve">The Oregon Legislature has once again updated the Eviction Moratorium rules for landlords and tenants in response to the continuing Covid emergency. </w:t>
      </w:r>
      <w:r w:rsidR="00117432">
        <w:t xml:space="preserve">Most recently, in </w:t>
      </w:r>
      <w:r w:rsidR="009A5C1B">
        <w:t>May</w:t>
      </w:r>
      <w:r>
        <w:t xml:space="preserve"> 2021, the legislature passed Senate Bill 282 which amends certain portions of the earlier House Bill</w:t>
      </w:r>
      <w:r w:rsidR="00AF5792">
        <w:t>s</w:t>
      </w:r>
      <w:r>
        <w:t xml:space="preserve"> 4213 and 4401. </w:t>
      </w:r>
    </w:p>
    <w:p w14:paraId="7FFFBF49" w14:textId="0275C5D5" w:rsidR="009E20AD" w:rsidRPr="00AF5792" w:rsidRDefault="009E20AD" w:rsidP="009A5C1B">
      <w:pPr>
        <w:tabs>
          <w:tab w:val="left" w:pos="0"/>
        </w:tabs>
        <w:jc w:val="center"/>
        <w:rPr>
          <w:b/>
          <w:bCs/>
          <w:smallCaps/>
          <w:sz w:val="28"/>
          <w:szCs w:val="28"/>
        </w:rPr>
      </w:pPr>
      <w:r w:rsidRPr="00AF5792">
        <w:rPr>
          <w:b/>
          <w:bCs/>
          <w:smallCaps/>
          <w:sz w:val="28"/>
          <w:szCs w:val="28"/>
        </w:rPr>
        <w:t>Background:</w:t>
      </w:r>
    </w:p>
    <w:p w14:paraId="3ED551C3" w14:textId="18AE88F9" w:rsidR="009E20AD" w:rsidRDefault="009E20AD" w:rsidP="000466F0">
      <w:pPr>
        <w:jc w:val="both"/>
      </w:pPr>
    </w:p>
    <w:p w14:paraId="1347336D" w14:textId="0073C5C9" w:rsidR="00A973BB" w:rsidRDefault="009E20AD" w:rsidP="000466F0">
      <w:pPr>
        <w:jc w:val="both"/>
      </w:pPr>
      <w:r w:rsidRPr="00A973BB">
        <w:rPr>
          <w:b/>
          <w:bCs/>
        </w:rPr>
        <w:t>House Bill 4213</w:t>
      </w:r>
      <w:r>
        <w:t xml:space="preserve"> was the State’s initial response to the Covid-19 emergency</w:t>
      </w:r>
      <w:r w:rsidR="00B17D34">
        <w:t>.</w:t>
      </w:r>
      <w:r>
        <w:t xml:space="preserve"> </w:t>
      </w:r>
      <w:r w:rsidR="00A973BB">
        <w:t xml:space="preserve">The </w:t>
      </w:r>
      <w:r w:rsidR="00803EA7">
        <w:t>B</w:t>
      </w:r>
      <w:r w:rsidR="00A973BB">
        <w:t xml:space="preserve">ill established an “Emergency Period” </w:t>
      </w:r>
      <w:r w:rsidR="00803EA7">
        <w:t xml:space="preserve">commencing </w:t>
      </w:r>
      <w:r w:rsidR="00A973BB">
        <w:t xml:space="preserve">on </w:t>
      </w:r>
      <w:r w:rsidR="009A5C1B">
        <w:t>April 1, 2020 and</w:t>
      </w:r>
      <w:r w:rsidR="00A973BB">
        <w:t xml:space="preserve"> running until September 30, 2020. During the Emergency Period tenants were protected from termination for non-payment of rents, charges</w:t>
      </w:r>
      <w:r w:rsidR="00C362E8">
        <w:t>,</w:t>
      </w:r>
      <w:r w:rsidR="00A973BB">
        <w:t xml:space="preserve"> and fees</w:t>
      </w:r>
      <w:r w:rsidR="008B45A2">
        <w:t xml:space="preserve">, known as the </w:t>
      </w:r>
      <w:r w:rsidR="00A973BB">
        <w:t>“</w:t>
      </w:r>
      <w:r w:rsidR="007248F1">
        <w:t>N</w:t>
      </w:r>
      <w:r w:rsidR="00B96023">
        <w:t>onpayment</w:t>
      </w:r>
      <w:r w:rsidR="00A973BB">
        <w:t xml:space="preserve"> </w:t>
      </w:r>
      <w:r w:rsidR="007248F1">
        <w:t>B</w:t>
      </w:r>
      <w:r w:rsidR="00A973BB">
        <w:t xml:space="preserve">alance.” </w:t>
      </w:r>
    </w:p>
    <w:p w14:paraId="03F600C9" w14:textId="77777777" w:rsidR="00A973BB" w:rsidRDefault="00A973BB" w:rsidP="000466F0">
      <w:pPr>
        <w:jc w:val="both"/>
      </w:pPr>
    </w:p>
    <w:p w14:paraId="7AC977D8" w14:textId="31F640AE" w:rsidR="009E20AD" w:rsidRDefault="00A973BB" w:rsidP="000466F0">
      <w:pPr>
        <w:jc w:val="both"/>
      </w:pPr>
      <w:r>
        <w:t xml:space="preserve">4213 further provided tenants with a “Grace Period” running from the end of the Emergency Period </w:t>
      </w:r>
      <w:r w:rsidR="009F74BB">
        <w:t xml:space="preserve">on September 30, </w:t>
      </w:r>
      <w:r w:rsidR="00B935CB">
        <w:t>2020,</w:t>
      </w:r>
      <w:r w:rsidR="009F74BB">
        <w:t xml:space="preserve"> </w:t>
      </w:r>
      <w:r>
        <w:t xml:space="preserve">until March 31, 2021. During the Grace Period, tenants would still owe their </w:t>
      </w:r>
      <w:r w:rsidR="00E41E90">
        <w:t>Non</w:t>
      </w:r>
      <w:r w:rsidR="00B96023">
        <w:t>pa</w:t>
      </w:r>
      <w:r w:rsidR="00E41E90">
        <w:t>yment Balance (</w:t>
      </w:r>
      <w:r>
        <w:t>current rents, charges, and fees</w:t>
      </w:r>
      <w:r w:rsidR="00673238">
        <w:t>)</w:t>
      </w:r>
      <w:r w:rsidR="002D26A0">
        <w:t xml:space="preserve"> which was due in its entirety by the last day of th</w:t>
      </w:r>
      <w:r w:rsidR="007B4C19">
        <w:t>e Grace Period. Their tenancy could not be terminated</w:t>
      </w:r>
      <w:r w:rsidR="00EA6982">
        <w:t xml:space="preserve"> for the failure to pay until after the last day of the Grace Period.</w:t>
      </w:r>
      <w:r>
        <w:t xml:space="preserve"> </w:t>
      </w:r>
    </w:p>
    <w:p w14:paraId="5C7C9D89" w14:textId="33B471BA" w:rsidR="00A973BB" w:rsidRDefault="00A973BB" w:rsidP="000466F0">
      <w:pPr>
        <w:jc w:val="both"/>
      </w:pPr>
    </w:p>
    <w:p w14:paraId="2C7BC80F" w14:textId="24EC6C5D" w:rsidR="00A973BB" w:rsidRDefault="00A973BB" w:rsidP="000466F0">
      <w:pPr>
        <w:jc w:val="both"/>
      </w:pPr>
      <w:r w:rsidRPr="00A973BB">
        <w:rPr>
          <w:b/>
          <w:bCs/>
        </w:rPr>
        <w:t>Executive Order 20-56</w:t>
      </w:r>
      <w:r>
        <w:t xml:space="preserve"> was </w:t>
      </w:r>
      <w:r w:rsidR="006F2751">
        <w:t xml:space="preserve">signed </w:t>
      </w:r>
      <w:r>
        <w:t xml:space="preserve">by Governor Brown in late 2020, in recognition that the Covid emergency was continuing. </w:t>
      </w:r>
      <w:r w:rsidR="005B79C2">
        <w:t xml:space="preserve">It </w:t>
      </w:r>
      <w:r>
        <w:t xml:space="preserve"> extended the Emergency Period (the time </w:t>
      </w:r>
      <w:r w:rsidR="006B39B0">
        <w:t>under HB 4213</w:t>
      </w:r>
      <w:r w:rsidR="00A20800">
        <w:t xml:space="preserve"> </w:t>
      </w:r>
      <w:r>
        <w:t xml:space="preserve">in which a tenant could not be evicted for nonpayment) until December 31, 2020. The Governor did not make any changes to the Grace Period. </w:t>
      </w:r>
      <w:r w:rsidR="00A20800">
        <w:t>Thus, a</w:t>
      </w:r>
      <w:r>
        <w:t xml:space="preserve">ll outstanding </w:t>
      </w:r>
      <w:r w:rsidR="00910716">
        <w:t>N</w:t>
      </w:r>
      <w:r>
        <w:t xml:space="preserve">onpayment </w:t>
      </w:r>
      <w:r w:rsidR="00910716">
        <w:t>B</w:t>
      </w:r>
      <w:r>
        <w:t>alances were still due by March 31, 2021.</w:t>
      </w:r>
    </w:p>
    <w:p w14:paraId="1A00E584" w14:textId="2F71AE14" w:rsidR="00152D0E" w:rsidRDefault="00152D0E" w:rsidP="000466F0">
      <w:pPr>
        <w:jc w:val="both"/>
      </w:pPr>
    </w:p>
    <w:p w14:paraId="27B6EED6" w14:textId="77777777" w:rsidR="00392B05" w:rsidRPr="00910716" w:rsidRDefault="00152D0E" w:rsidP="00910716">
      <w:r w:rsidRPr="00910716">
        <w:rPr>
          <w:b/>
          <w:bCs/>
        </w:rPr>
        <w:t>House Bill 4401</w:t>
      </w:r>
      <w:r w:rsidRPr="00910716">
        <w:t xml:space="preserve"> was passed in December 2020 to provide additional relief to tenants and provide a way for the State to mitigate financial damage to landlords. HB 4401 did two main things</w:t>
      </w:r>
      <w:r w:rsidR="00392B05" w:rsidRPr="00910716">
        <w:t>:</w:t>
      </w:r>
    </w:p>
    <w:p w14:paraId="195E6392" w14:textId="77777777" w:rsidR="00910716" w:rsidRPr="00910716" w:rsidRDefault="0065588E" w:rsidP="00910716">
      <w:pPr>
        <w:pStyle w:val="ListParagraph"/>
        <w:numPr>
          <w:ilvl w:val="0"/>
          <w:numId w:val="8"/>
        </w:numPr>
      </w:pPr>
      <w:r w:rsidRPr="00910716">
        <w:t>It</w:t>
      </w:r>
      <w:r w:rsidR="00152D0E" w:rsidRPr="00910716">
        <w:t xml:space="preserve"> authorized the Oregon Department of Housing and Community services to create the Landlord Compensation Fund; and</w:t>
      </w:r>
      <w:r w:rsidR="00910716" w:rsidRPr="00910716">
        <w:t xml:space="preserve"> </w:t>
      </w:r>
    </w:p>
    <w:p w14:paraId="1034349E" w14:textId="35840B1F" w:rsidR="00910716" w:rsidRDefault="0065588E" w:rsidP="00910716">
      <w:pPr>
        <w:pStyle w:val="ListParagraph"/>
        <w:numPr>
          <w:ilvl w:val="0"/>
          <w:numId w:val="8"/>
        </w:numPr>
        <w:jc w:val="both"/>
      </w:pPr>
      <w:r w:rsidRPr="00910716">
        <w:t>I</w:t>
      </w:r>
      <w:r w:rsidR="00152D0E" w:rsidRPr="00910716">
        <w:t xml:space="preserve">t extended the Emergency and Grace Periods to June 30, </w:t>
      </w:r>
      <w:r w:rsidR="00B935CB" w:rsidRPr="00910716">
        <w:t>2021,</w:t>
      </w:r>
      <w:r w:rsidR="00152D0E" w:rsidRPr="00910716">
        <w:t xml:space="preserve"> for tenants who completed and returned a </w:t>
      </w:r>
      <w:r w:rsidR="007653D9" w:rsidRPr="00910716">
        <w:t xml:space="preserve">document known as </w:t>
      </w:r>
      <w:r w:rsidR="00D818A5" w:rsidRPr="00910716">
        <w:t>the “</w:t>
      </w:r>
      <w:r w:rsidR="007757FA" w:rsidRPr="00910716">
        <w:t>D</w:t>
      </w:r>
      <w:r w:rsidR="00152D0E" w:rsidRPr="00910716">
        <w:t xml:space="preserve">eclaration of </w:t>
      </w:r>
      <w:r w:rsidR="007757FA" w:rsidRPr="00910716">
        <w:t>F</w:t>
      </w:r>
      <w:r w:rsidR="00152D0E" w:rsidRPr="00910716">
        <w:t xml:space="preserve">inancial </w:t>
      </w:r>
      <w:r w:rsidR="007757FA" w:rsidRPr="00910716">
        <w:t>H</w:t>
      </w:r>
      <w:r w:rsidR="00152D0E" w:rsidRPr="00910716">
        <w:t>ardship</w:t>
      </w:r>
      <w:r w:rsidR="00D818A5" w:rsidRPr="00910716">
        <w:t>”</w:t>
      </w:r>
      <w:r w:rsidR="00152D0E" w:rsidRPr="00910716">
        <w:t>.</w:t>
      </w:r>
      <w:r w:rsidR="003163F1" w:rsidRPr="00910716">
        <w:t xml:space="preserve"> </w:t>
      </w:r>
    </w:p>
    <w:p w14:paraId="25AB873E" w14:textId="77777777" w:rsidR="00910716" w:rsidRDefault="00910716" w:rsidP="00910716">
      <w:pPr>
        <w:jc w:val="both"/>
      </w:pPr>
    </w:p>
    <w:p w14:paraId="0531942D" w14:textId="067DD191" w:rsidR="00152D0E" w:rsidRDefault="00152D0E" w:rsidP="000466F0">
      <w:pPr>
        <w:jc w:val="both"/>
      </w:pPr>
      <w:r>
        <w:t xml:space="preserve">Tenants who gave their landlord the </w:t>
      </w:r>
      <w:r w:rsidR="006404F6">
        <w:t xml:space="preserve">completed and signed </w:t>
      </w:r>
      <w:r>
        <w:t xml:space="preserve">Declaration of Financial Hardship were  protected from termination for nonpayment of rents, </w:t>
      </w:r>
      <w:r w:rsidR="00B935CB">
        <w:t>charges,</w:t>
      </w:r>
      <w:r>
        <w:t xml:space="preserve"> and fees </w:t>
      </w:r>
      <w:r w:rsidR="00873B01">
        <w:t>through the Extended Emergency Period</w:t>
      </w:r>
      <w:r w:rsidR="00F15587">
        <w:t xml:space="preserve">, i.e., </w:t>
      </w:r>
      <w:r>
        <w:t xml:space="preserve">until June 30, 2021. Likewise, they received </w:t>
      </w:r>
      <w:r w:rsidR="00935380">
        <w:t xml:space="preserve">similar </w:t>
      </w:r>
      <w:r w:rsidR="00F15587">
        <w:t>protection</w:t>
      </w:r>
      <w:r w:rsidR="004027D7">
        <w:t xml:space="preserve"> during </w:t>
      </w:r>
      <w:r>
        <w:t xml:space="preserve">the Extended Grace Period, </w:t>
      </w:r>
      <w:r w:rsidR="00FE3C27">
        <w:t xml:space="preserve">meaning </w:t>
      </w:r>
      <w:r>
        <w:t xml:space="preserve">their </w:t>
      </w:r>
      <w:r w:rsidR="00910716">
        <w:t>N</w:t>
      </w:r>
      <w:r>
        <w:t xml:space="preserve">onpayment </w:t>
      </w:r>
      <w:r w:rsidR="00910716">
        <w:t>B</w:t>
      </w:r>
      <w:r>
        <w:t>alance</w:t>
      </w:r>
      <w:r w:rsidR="0034191E">
        <w:t xml:space="preserve"> for</w:t>
      </w:r>
      <w:r>
        <w:t xml:space="preserve"> </w:t>
      </w:r>
      <w:r w:rsidR="00AA3FC7">
        <w:t xml:space="preserve">all rents, charges and fees accruing </w:t>
      </w:r>
      <w:r>
        <w:t xml:space="preserve">from April 1, </w:t>
      </w:r>
      <w:r w:rsidR="00B935CB">
        <w:t>2020,</w:t>
      </w:r>
      <w:r>
        <w:t xml:space="preserve"> through June 30, 2021</w:t>
      </w:r>
      <w:r w:rsidR="00AA3FC7">
        <w:t>,</w:t>
      </w:r>
      <w:r>
        <w:t xml:space="preserve"> would </w:t>
      </w:r>
      <w:r w:rsidR="00FE3C27">
        <w:t xml:space="preserve">not </w:t>
      </w:r>
      <w:r>
        <w:t xml:space="preserve">become due </w:t>
      </w:r>
      <w:r w:rsidR="00FE3C27">
        <w:t xml:space="preserve">until </w:t>
      </w:r>
      <w:r>
        <w:t xml:space="preserve">July 1, 2021. </w:t>
      </w:r>
    </w:p>
    <w:p w14:paraId="202A1FFC" w14:textId="0B19C68A" w:rsidR="00152D0E" w:rsidRDefault="00152D0E" w:rsidP="000466F0">
      <w:pPr>
        <w:jc w:val="both"/>
      </w:pPr>
    </w:p>
    <w:p w14:paraId="3D96A985" w14:textId="61D06800" w:rsidR="00AA3FC7" w:rsidRDefault="00152D0E" w:rsidP="000466F0">
      <w:pPr>
        <w:jc w:val="both"/>
      </w:pPr>
      <w:r>
        <w:lastRenderedPageBreak/>
        <w:t xml:space="preserve">Tenants who DID NOT return a Declaration of Financial Hardship were to begin paying current rents, charges, and fees beginning January 1, </w:t>
      </w:r>
      <w:r w:rsidR="00B935CB">
        <w:t>2021,</w:t>
      </w:r>
      <w:r>
        <w:t xml:space="preserve"> and would have until March 31, 2021, the</w:t>
      </w:r>
      <w:r w:rsidR="00DF06CE">
        <w:t xml:space="preserve"> end of the</w:t>
      </w:r>
      <w:r>
        <w:t xml:space="preserve"> original Grace Period</w:t>
      </w:r>
      <w:r w:rsidR="00DF06CE">
        <w:t xml:space="preserve">, </w:t>
      </w:r>
      <w:r>
        <w:t>to pay off their nonpayment balance.</w:t>
      </w:r>
      <w:r w:rsidR="00E70F7F">
        <w:t xml:space="preserve"> </w:t>
      </w:r>
      <w:r w:rsidR="00497E03">
        <w:t xml:space="preserve"> </w:t>
      </w:r>
      <w:hyperlink r:id="rId9" w:anchor="toc-what-type-of-notice-can-a-landlord-send-to-a-tenant-regarding-their-outstanding-balance-" w:history="1">
        <w:r w:rsidR="00E70F7F" w:rsidRPr="00F220C3">
          <w:rPr>
            <w:rStyle w:val="Hyperlink"/>
            <w:i/>
            <w:iCs/>
          </w:rPr>
          <w:t>[</w:t>
        </w:r>
        <w:r w:rsidR="00497E03" w:rsidRPr="00F220C3">
          <w:rPr>
            <w:rStyle w:val="Hyperlink"/>
            <w:i/>
            <w:iCs/>
          </w:rPr>
          <w:t>See</w:t>
        </w:r>
        <w:r w:rsidR="00E70F7F" w:rsidRPr="00F220C3">
          <w:rPr>
            <w:rStyle w:val="Hyperlink"/>
            <w:i/>
            <w:iCs/>
          </w:rPr>
          <w:t>,</w:t>
        </w:r>
        <w:r w:rsidR="00AF32C5">
          <w:rPr>
            <w:rStyle w:val="Hyperlink"/>
            <w:i/>
            <w:iCs/>
          </w:rPr>
          <w:t xml:space="preserve"> </w:t>
        </w:r>
        <w:r w:rsidR="00E70F7F" w:rsidRPr="00F220C3">
          <w:rPr>
            <w:rStyle w:val="Hyperlink"/>
            <w:i/>
            <w:iCs/>
          </w:rPr>
          <w:t>link here.]</w:t>
        </w:r>
      </w:hyperlink>
    </w:p>
    <w:p w14:paraId="57B4D585" w14:textId="4F703631" w:rsidR="00DF06CE" w:rsidRDefault="00DF06CE" w:rsidP="000466F0">
      <w:pPr>
        <w:jc w:val="both"/>
      </w:pPr>
    </w:p>
    <w:p w14:paraId="1EDBDEB4" w14:textId="43578F87" w:rsidR="00DF06CE" w:rsidRPr="00DE47BF" w:rsidRDefault="00DF06CE" w:rsidP="00DE47BF">
      <w:pPr>
        <w:jc w:val="center"/>
        <w:rPr>
          <w:b/>
          <w:bCs/>
          <w:smallCaps/>
          <w:sz w:val="28"/>
          <w:szCs w:val="28"/>
        </w:rPr>
      </w:pPr>
      <w:r w:rsidRPr="00DE47BF">
        <w:rPr>
          <w:b/>
          <w:bCs/>
          <w:smallCaps/>
          <w:sz w:val="28"/>
          <w:szCs w:val="28"/>
        </w:rPr>
        <w:t>Senate Bill 282</w:t>
      </w:r>
    </w:p>
    <w:p w14:paraId="112A0D35" w14:textId="15495198" w:rsidR="00DF06CE" w:rsidRDefault="00DF06CE" w:rsidP="000466F0">
      <w:pPr>
        <w:jc w:val="both"/>
      </w:pPr>
    </w:p>
    <w:p w14:paraId="473B6DA1" w14:textId="4A5D703D" w:rsidR="007757FA" w:rsidRDefault="00DF06CE" w:rsidP="000466F0">
      <w:pPr>
        <w:jc w:val="both"/>
      </w:pPr>
      <w:r>
        <w:t>Senate Bill 28</w:t>
      </w:r>
      <w:r w:rsidR="00AA3FC7">
        <w:t>2 was passed in May of 2021. Its</w:t>
      </w:r>
      <w:r>
        <w:t xml:space="preserve"> primary purpose </w:t>
      </w:r>
      <w:r w:rsidR="00B96023">
        <w:t>was</w:t>
      </w:r>
      <w:r>
        <w:t xml:space="preserve"> to </w:t>
      </w:r>
      <w:r w:rsidRPr="00B96023">
        <w:rPr>
          <w:i/>
          <w:iCs/>
          <w:u w:val="single"/>
        </w:rPr>
        <w:t>extend</w:t>
      </w:r>
      <w:r>
        <w:t xml:space="preserve"> the Grace Period for tenants carrying a </w:t>
      </w:r>
      <w:r w:rsidR="00B96023">
        <w:t>N</w:t>
      </w:r>
      <w:r>
        <w:t xml:space="preserve">onpayment </w:t>
      </w:r>
      <w:r w:rsidR="00B96023">
        <w:t>B</w:t>
      </w:r>
      <w:r>
        <w:t>alance to February 28, 2022.</w:t>
      </w:r>
      <w:r w:rsidR="007757FA">
        <w:t xml:space="preserve"> It also makes slight changes to tenant screening procedures and temporarily disallows terminations and fees for renters having non-tenant guests.</w:t>
      </w:r>
      <w:r w:rsidR="00FC233A">
        <w:t xml:space="preserve"> </w:t>
      </w:r>
    </w:p>
    <w:p w14:paraId="5E6F0A48" w14:textId="64EA63AA" w:rsidR="00FC233A" w:rsidRDefault="00FC233A" w:rsidP="000466F0">
      <w:pPr>
        <w:jc w:val="both"/>
      </w:pPr>
    </w:p>
    <w:p w14:paraId="0EFE6619" w14:textId="62408C66" w:rsidR="00FC233A" w:rsidRDefault="005C6920" w:rsidP="000466F0">
      <w:pPr>
        <w:jc w:val="both"/>
      </w:pPr>
      <w:r>
        <w:t>SB 282 was passed as an Emergency measure and therefore all changes go into effect immediately upon the governor’s signature on May 19, 2021. However, c</w:t>
      </w:r>
      <w:r w:rsidR="00FC233A">
        <w:t>hanges to the Eviction Moratorium Laws (4213 as modified by 4401)</w:t>
      </w:r>
      <w:r>
        <w:t>, as detailed below, do not take effect until</w:t>
      </w:r>
      <w:r w:rsidR="00FC233A">
        <w:t xml:space="preserve">  July 1, </w:t>
      </w:r>
      <w:r w:rsidR="009A5C1B">
        <w:t>2021,</w:t>
      </w:r>
      <w:r w:rsidR="00D27FF2">
        <w:t xml:space="preserve"> unless otherwise noted</w:t>
      </w:r>
      <w:r w:rsidR="00FC233A">
        <w:t xml:space="preserve">. </w:t>
      </w:r>
    </w:p>
    <w:p w14:paraId="0216EB36" w14:textId="444A2705" w:rsidR="00FC233A" w:rsidRDefault="00FC233A" w:rsidP="000466F0">
      <w:pPr>
        <w:jc w:val="both"/>
      </w:pPr>
    </w:p>
    <w:p w14:paraId="5B9D9C93" w14:textId="4F86E522" w:rsidR="000C1C54" w:rsidRPr="00FC233A" w:rsidRDefault="00FC233A" w:rsidP="00FC233A">
      <w:r>
        <w:rPr>
          <w:noProof/>
        </w:rPr>
        <w:drawing>
          <wp:inline distT="0" distB="0" distL="0" distR="0" wp14:anchorId="7581B28A" wp14:editId="2ED7C52E">
            <wp:extent cx="5943600" cy="2635885"/>
            <wp:effectExtent l="0" t="0" r="0" b="571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635885"/>
                    </a:xfrm>
                    <a:prstGeom prst="rect">
                      <a:avLst/>
                    </a:prstGeom>
                  </pic:spPr>
                </pic:pic>
              </a:graphicData>
            </a:graphic>
          </wp:inline>
        </w:drawing>
      </w:r>
    </w:p>
    <w:p w14:paraId="45593077" w14:textId="1FA8D88F" w:rsidR="00356AF3" w:rsidRDefault="00EE5895" w:rsidP="005B3399">
      <w:pPr>
        <w:jc w:val="center"/>
      </w:pPr>
      <w:r w:rsidRPr="00EE5895">
        <w:rPr>
          <w:b/>
          <w:bCs/>
          <w:smallCaps/>
          <w:sz w:val="28"/>
          <w:szCs w:val="28"/>
        </w:rPr>
        <w:t>Discussion</w:t>
      </w:r>
    </w:p>
    <w:p w14:paraId="2B88AEB5" w14:textId="77777777" w:rsidR="005B3399" w:rsidRDefault="005B3399" w:rsidP="005B3399">
      <w:pPr>
        <w:jc w:val="center"/>
      </w:pPr>
    </w:p>
    <w:p w14:paraId="03CC6FCD" w14:textId="4D6E846A" w:rsidR="007757FA" w:rsidRDefault="007757FA" w:rsidP="007757FA">
      <w:pPr>
        <w:pStyle w:val="ListParagraph"/>
        <w:numPr>
          <w:ilvl w:val="0"/>
          <w:numId w:val="1"/>
        </w:numPr>
      </w:pPr>
      <w:r>
        <w:t>The definition of a “</w:t>
      </w:r>
      <w:r w:rsidR="00F74D0D">
        <w:t>N</w:t>
      </w:r>
      <w:r>
        <w:t xml:space="preserve">onpayment </w:t>
      </w:r>
      <w:r w:rsidR="00F74D0D">
        <w:t>B</w:t>
      </w:r>
      <w:r>
        <w:t>alance” remains the same. The Nonpayment Balance is a</w:t>
      </w:r>
      <w:r w:rsidRPr="007757FA">
        <w:t>ll outstanding rents, charges, utilities, and fees that have accumulated</w:t>
      </w:r>
      <w:r>
        <w:t xml:space="preserve"> during the Original and Extended Emergency Periods, running</w:t>
      </w:r>
      <w:r w:rsidRPr="007757FA">
        <w:t xml:space="preserve"> </w:t>
      </w:r>
      <w:r>
        <w:t xml:space="preserve">from April 1, </w:t>
      </w:r>
      <w:r w:rsidR="00B935CB">
        <w:t>2020,</w:t>
      </w:r>
      <w:r>
        <w:t xml:space="preserve"> to June 30, 2021.</w:t>
      </w:r>
    </w:p>
    <w:p w14:paraId="5BBECB0F" w14:textId="77777777" w:rsidR="007757FA" w:rsidRDefault="007757FA" w:rsidP="007757FA">
      <w:pPr>
        <w:pStyle w:val="ListParagraph"/>
      </w:pPr>
    </w:p>
    <w:p w14:paraId="70F39780" w14:textId="355CA8F8" w:rsidR="007757FA" w:rsidRDefault="007757FA" w:rsidP="007757FA">
      <w:pPr>
        <w:pStyle w:val="ListParagraph"/>
        <w:numPr>
          <w:ilvl w:val="0"/>
          <w:numId w:val="1"/>
        </w:numPr>
      </w:pPr>
      <w:r>
        <w:t>Landlords still may not take the following actions before the end of the New Grace Period (</w:t>
      </w:r>
      <w:r w:rsidR="00301583">
        <w:t xml:space="preserve">i.e., </w:t>
      </w:r>
      <w:r>
        <w:t xml:space="preserve">before February 28, 2022). </w:t>
      </w:r>
    </w:p>
    <w:p w14:paraId="75BF904A" w14:textId="1EDA0095" w:rsidR="007757FA" w:rsidRDefault="007757FA" w:rsidP="007757FA">
      <w:pPr>
        <w:pStyle w:val="ListParagraph"/>
        <w:numPr>
          <w:ilvl w:val="1"/>
          <w:numId w:val="1"/>
        </w:numPr>
      </w:pPr>
      <w:r>
        <w:t xml:space="preserve">threatening to terminate a tenant for the Nonpayment Balance, </w:t>
      </w:r>
    </w:p>
    <w:p w14:paraId="510F5A92" w14:textId="0C0E373C" w:rsidR="007757FA" w:rsidRDefault="007757FA" w:rsidP="007757FA">
      <w:pPr>
        <w:pStyle w:val="ListParagraph"/>
        <w:numPr>
          <w:ilvl w:val="1"/>
          <w:numId w:val="1"/>
        </w:numPr>
      </w:pPr>
      <w:r>
        <w:t xml:space="preserve">initiating or continuing any FEDs because of the Nonpayment Balance; </w:t>
      </w:r>
    </w:p>
    <w:p w14:paraId="55127E43" w14:textId="5A5BCC13" w:rsidR="007757FA" w:rsidRDefault="007757FA" w:rsidP="007757FA">
      <w:pPr>
        <w:pStyle w:val="ListParagraph"/>
        <w:numPr>
          <w:ilvl w:val="1"/>
          <w:numId w:val="1"/>
        </w:numPr>
      </w:pPr>
      <w:r>
        <w:t xml:space="preserve">interfering with a tenant's use or possession of their dwelling unit due to the Nonpayment Balance; </w:t>
      </w:r>
    </w:p>
    <w:p w14:paraId="4C5D1D2B" w14:textId="5AC3C7F4" w:rsidR="007757FA" w:rsidRDefault="007757FA" w:rsidP="007757FA">
      <w:pPr>
        <w:pStyle w:val="ListParagraph"/>
        <w:numPr>
          <w:ilvl w:val="1"/>
          <w:numId w:val="1"/>
        </w:numPr>
      </w:pPr>
      <w:r>
        <w:t xml:space="preserve">assessing late fees or charges because of the Nonpayment Balance; and </w:t>
      </w:r>
    </w:p>
    <w:p w14:paraId="2A5054EC" w14:textId="21E25C2D" w:rsidR="003D7BA4" w:rsidRDefault="007757FA" w:rsidP="003D7BA4">
      <w:pPr>
        <w:pStyle w:val="ListParagraph"/>
        <w:numPr>
          <w:ilvl w:val="1"/>
          <w:numId w:val="1"/>
        </w:numPr>
      </w:pPr>
      <w:r>
        <w:lastRenderedPageBreak/>
        <w:t xml:space="preserve">initiating any legal action to recover the Nonpayment Balance. </w:t>
      </w:r>
    </w:p>
    <w:p w14:paraId="03F6E818" w14:textId="77777777" w:rsidR="003D7BA4" w:rsidRDefault="003D7BA4" w:rsidP="003D7BA4">
      <w:pPr>
        <w:pStyle w:val="ListParagraph"/>
        <w:ind w:left="1440"/>
      </w:pPr>
    </w:p>
    <w:p w14:paraId="3368BAE9" w14:textId="5292AE68" w:rsidR="00356AF3" w:rsidRDefault="003D7BA4" w:rsidP="00356AF3">
      <w:pPr>
        <w:pStyle w:val="ListParagraph"/>
        <w:numPr>
          <w:ilvl w:val="0"/>
          <w:numId w:val="1"/>
        </w:numPr>
      </w:pPr>
      <w:r>
        <w:t xml:space="preserve">The Grace Period does not excuse tenants from paying their </w:t>
      </w:r>
      <w:r w:rsidRPr="003D7BA4">
        <w:rPr>
          <w:u w:val="single"/>
        </w:rPr>
        <w:t>current</w:t>
      </w:r>
      <w:r>
        <w:t xml:space="preserve"> rents, charges, utilities, and fees, per their lease, on or after July 1, 2021. </w:t>
      </w:r>
      <w:r w:rsidRPr="009A5C1B">
        <w:rPr>
          <w:i/>
          <w:iCs/>
          <w:u w:val="single"/>
        </w:rPr>
        <w:t>There has been no extension of the Emergency Period</w:t>
      </w:r>
      <w:r>
        <w:t xml:space="preserve">. Landlords have the full selection of state laws for enforcement and recovery available to them for debts arising after July 1, 2021. </w:t>
      </w:r>
    </w:p>
    <w:p w14:paraId="714EE27C" w14:textId="77777777" w:rsidR="00AE7834" w:rsidRDefault="00AE7834" w:rsidP="00AE7834">
      <w:pPr>
        <w:pStyle w:val="ListParagraph"/>
      </w:pPr>
    </w:p>
    <w:p w14:paraId="4AB9AF03" w14:textId="23DAA8B5" w:rsidR="00356AF3" w:rsidRDefault="00356AF3" w:rsidP="00356AF3">
      <w:pPr>
        <w:pStyle w:val="ListParagraph"/>
        <w:numPr>
          <w:ilvl w:val="0"/>
          <w:numId w:val="1"/>
        </w:numPr>
      </w:pPr>
      <w:r>
        <w:t xml:space="preserve">Payments received from, or on behalf of, a </w:t>
      </w:r>
      <w:r w:rsidR="00FC233A">
        <w:t>t</w:t>
      </w:r>
      <w:r>
        <w:t>enant must still be applied in the following manner</w:t>
      </w:r>
      <w:r w:rsidR="00AE7834">
        <w:t xml:space="preserve"> </w:t>
      </w:r>
      <w:r w:rsidR="00AE7834" w:rsidRPr="00FC233A">
        <w:rPr>
          <w:i/>
          <w:iCs/>
        </w:rPr>
        <w:t>(</w:t>
      </w:r>
      <w:r w:rsidR="00E0717A">
        <w:rPr>
          <w:i/>
          <w:iCs/>
        </w:rPr>
        <w:t>N</w:t>
      </w:r>
      <w:r w:rsidR="00AE7834" w:rsidRPr="00FC233A">
        <w:rPr>
          <w:i/>
          <w:iCs/>
        </w:rPr>
        <w:t>ote</w:t>
      </w:r>
      <w:r w:rsidR="00FC233A" w:rsidRPr="00FC233A">
        <w:rPr>
          <w:i/>
          <w:iCs/>
        </w:rPr>
        <w:t xml:space="preserve">: </w:t>
      </w:r>
      <w:r w:rsidR="00AE7834" w:rsidRPr="00FC233A">
        <w:rPr>
          <w:i/>
          <w:iCs/>
        </w:rPr>
        <w:t xml:space="preserve">this differs from the order of application in </w:t>
      </w:r>
      <w:hyperlink r:id="rId11" w:history="1">
        <w:r w:rsidR="00AE7834" w:rsidRPr="00703152">
          <w:rPr>
            <w:rStyle w:val="Hyperlink"/>
            <w:i/>
            <w:iCs/>
          </w:rPr>
          <w:t>ORS 90.220(9)</w:t>
        </w:r>
      </w:hyperlink>
      <w:r w:rsidR="00925E0E">
        <w:rPr>
          <w:i/>
          <w:iCs/>
        </w:rPr>
        <w:t xml:space="preserve"> (Terms and conditions of rental agreement</w:t>
      </w:r>
      <w:r w:rsidR="00AA3FC7" w:rsidRPr="00FC233A">
        <w:rPr>
          <w:i/>
          <w:iCs/>
        </w:rPr>
        <w:t>)</w:t>
      </w:r>
      <w:r w:rsidR="00AE7834" w:rsidRPr="00FC233A">
        <w:rPr>
          <w:i/>
          <w:iCs/>
        </w:rPr>
        <w:t>.</w:t>
      </w:r>
    </w:p>
    <w:p w14:paraId="5EBCFA95" w14:textId="7DB2CCEB" w:rsidR="00356AF3" w:rsidRDefault="00356AF3" w:rsidP="00356AF3">
      <w:pPr>
        <w:pStyle w:val="ListParagraph"/>
        <w:numPr>
          <w:ilvl w:val="1"/>
          <w:numId w:val="1"/>
        </w:numPr>
      </w:pPr>
      <w:r>
        <w:t>First</w:t>
      </w:r>
      <w:r w:rsidR="00AA3FC7">
        <w:t>,</w:t>
      </w:r>
      <w:r>
        <w:t xml:space="preserve"> to rent from the current rental period; </w:t>
      </w:r>
    </w:p>
    <w:p w14:paraId="641DF4C5" w14:textId="4F6C42A4" w:rsidR="00356AF3" w:rsidRDefault="00356AF3" w:rsidP="00356AF3">
      <w:pPr>
        <w:pStyle w:val="ListParagraph"/>
        <w:numPr>
          <w:ilvl w:val="1"/>
          <w:numId w:val="1"/>
        </w:numPr>
      </w:pPr>
      <w:r>
        <w:t>Second</w:t>
      </w:r>
      <w:r w:rsidR="00AA3FC7">
        <w:t>,</w:t>
      </w:r>
      <w:r>
        <w:t xml:space="preserve"> to utility or service charges; </w:t>
      </w:r>
    </w:p>
    <w:p w14:paraId="4621F541" w14:textId="3C4A6ADC" w:rsidR="00356AF3" w:rsidRDefault="00356AF3" w:rsidP="00356AF3">
      <w:pPr>
        <w:pStyle w:val="ListParagraph"/>
        <w:numPr>
          <w:ilvl w:val="1"/>
          <w:numId w:val="1"/>
        </w:numPr>
      </w:pPr>
      <w:r>
        <w:t xml:space="preserve">Third, to late rent payment charges; and </w:t>
      </w:r>
    </w:p>
    <w:p w14:paraId="0DF25E54" w14:textId="1686E533" w:rsidR="00356AF3" w:rsidRDefault="00356AF3" w:rsidP="00356AF3">
      <w:pPr>
        <w:pStyle w:val="ListParagraph"/>
        <w:numPr>
          <w:ilvl w:val="1"/>
          <w:numId w:val="1"/>
        </w:numPr>
      </w:pPr>
      <w:r>
        <w:t xml:space="preserve">Fourth, to fees or charges owed by the tenant under </w:t>
      </w:r>
      <w:hyperlink r:id="rId12" w:history="1">
        <w:r w:rsidRPr="00A527A9">
          <w:rPr>
            <w:rStyle w:val="Hyperlink"/>
          </w:rPr>
          <w:t>ORS 90.302</w:t>
        </w:r>
      </w:hyperlink>
      <w:r w:rsidR="00D43A27">
        <w:t xml:space="preserve"> (Fees allowed for certain landlord expenses)</w:t>
      </w:r>
      <w:r>
        <w:t xml:space="preserve"> or other fees or charges related to damage claims or other claims against the tenant.</w:t>
      </w:r>
    </w:p>
    <w:p w14:paraId="34BF1A20" w14:textId="04613C83" w:rsidR="00356AF3" w:rsidRDefault="000F1723" w:rsidP="000F1723">
      <w:pPr>
        <w:pStyle w:val="ListParagraph"/>
        <w:numPr>
          <w:ilvl w:val="2"/>
          <w:numId w:val="1"/>
        </w:numPr>
      </w:pPr>
      <w:r>
        <w:t>W</w:t>
      </w:r>
      <w:r w:rsidR="00356AF3">
        <w:t xml:space="preserve">hatever is left of the payment may be applied to the </w:t>
      </w:r>
      <w:r>
        <w:t>N</w:t>
      </w:r>
      <w:r w:rsidR="00356AF3">
        <w:t xml:space="preserve">onpayment </w:t>
      </w:r>
      <w:r>
        <w:t>B</w:t>
      </w:r>
      <w:r w:rsidR="00356AF3">
        <w:t>alance.</w:t>
      </w:r>
    </w:p>
    <w:p w14:paraId="2D3F537D" w14:textId="77777777" w:rsidR="00AA0DD7" w:rsidRDefault="00AA0DD7" w:rsidP="00AA0DD7">
      <w:pPr>
        <w:pStyle w:val="ListParagraph"/>
        <w:ind w:left="1440"/>
      </w:pPr>
    </w:p>
    <w:p w14:paraId="7554D491" w14:textId="5F7C457A" w:rsidR="00AE7834" w:rsidRDefault="00AE7834" w:rsidP="00AE7834">
      <w:pPr>
        <w:pStyle w:val="ListParagraph"/>
        <w:numPr>
          <w:ilvl w:val="0"/>
          <w:numId w:val="1"/>
        </w:numPr>
      </w:pPr>
      <w:r>
        <w:t>If a tenan</w:t>
      </w:r>
      <w:r w:rsidR="00AA0DD7">
        <w:t>cy terminates before the end of the Grace Period</w:t>
      </w:r>
      <w:r w:rsidR="001D5215">
        <w:t>,</w:t>
      </w:r>
      <w:r w:rsidR="00AA0DD7">
        <w:t xml:space="preserve"> the landlord may</w:t>
      </w:r>
      <w:r w:rsidR="007706AB">
        <w:t xml:space="preserve"> apply</w:t>
      </w:r>
      <w:r w:rsidR="00AA0DD7">
        <w:t xml:space="preserve"> </w:t>
      </w:r>
      <w:r w:rsidR="001F7929">
        <w:t xml:space="preserve">tenant’s security deposit or last month’s </w:t>
      </w:r>
      <w:r w:rsidR="00B935CB">
        <w:t>rent toward</w:t>
      </w:r>
      <w:r w:rsidR="00AA0DD7">
        <w:t xml:space="preserve"> any</w:t>
      </w:r>
      <w:r w:rsidR="00BE4ED2">
        <w:t xml:space="preserve"> remaining</w:t>
      </w:r>
      <w:r w:rsidR="00AA0DD7">
        <w:t xml:space="preserve"> </w:t>
      </w:r>
      <w:r w:rsidR="007706AB">
        <w:t>N</w:t>
      </w:r>
      <w:r w:rsidR="00AA0DD7">
        <w:t xml:space="preserve">onpayment </w:t>
      </w:r>
      <w:r w:rsidR="007706AB">
        <w:t>B</w:t>
      </w:r>
      <w:r w:rsidR="00AA0DD7">
        <w:t>alance.</w:t>
      </w:r>
    </w:p>
    <w:p w14:paraId="56205DCA" w14:textId="77777777" w:rsidR="00AA0DD7" w:rsidRDefault="00AA0DD7" w:rsidP="00AA0DD7">
      <w:pPr>
        <w:pStyle w:val="ListParagraph"/>
      </w:pPr>
    </w:p>
    <w:p w14:paraId="3A290D33" w14:textId="16967185" w:rsidR="00AA0DD7" w:rsidRDefault="00AA0DD7" w:rsidP="00AE7834">
      <w:pPr>
        <w:pStyle w:val="ListParagraph"/>
        <w:numPr>
          <w:ilvl w:val="0"/>
          <w:numId w:val="1"/>
        </w:numPr>
      </w:pPr>
      <w:r>
        <w:t xml:space="preserve">Tenants that have an outstanding </w:t>
      </w:r>
      <w:r w:rsidR="00BE4ED2">
        <w:t>N</w:t>
      </w:r>
      <w:r>
        <w:t xml:space="preserve">onpayment </w:t>
      </w:r>
      <w:r w:rsidR="00BE4ED2">
        <w:t>B</w:t>
      </w:r>
      <w:r>
        <w:t xml:space="preserve">alance accrued between April 1, </w:t>
      </w:r>
      <w:r w:rsidR="00B935CB">
        <w:t>2020,</w:t>
      </w:r>
      <w:r>
        <w:t xml:space="preserve"> and June 30, </w:t>
      </w:r>
      <w:r w:rsidR="00B935CB">
        <w:t>2021,</w:t>
      </w:r>
      <w:r>
        <w:t xml:space="preserve"> are not considered in default until after the expiration of the </w:t>
      </w:r>
      <w:r w:rsidR="00F102FF">
        <w:t xml:space="preserve">new </w:t>
      </w:r>
      <w:r>
        <w:t xml:space="preserve">Grace Period, </w:t>
      </w:r>
      <w:r w:rsidR="007B248C">
        <w:t xml:space="preserve">on </w:t>
      </w:r>
      <w:r>
        <w:t>February 28, 2022.</w:t>
      </w:r>
    </w:p>
    <w:p w14:paraId="20E6A4D9" w14:textId="77777777" w:rsidR="00AA0DD7" w:rsidRDefault="00AA0DD7" w:rsidP="00AA0DD7">
      <w:pPr>
        <w:pStyle w:val="ListParagraph"/>
      </w:pPr>
    </w:p>
    <w:p w14:paraId="12015252" w14:textId="5C48EA1D" w:rsidR="00AA0DD7" w:rsidRDefault="00AA0DD7" w:rsidP="00AE7834">
      <w:pPr>
        <w:pStyle w:val="ListParagraph"/>
        <w:numPr>
          <w:ilvl w:val="0"/>
          <w:numId w:val="1"/>
        </w:numPr>
      </w:pPr>
      <w:r>
        <w:t xml:space="preserve">Landlords may still accept partial payments without waiving their right to terminate </w:t>
      </w:r>
      <w:r w:rsidR="0094597C">
        <w:t xml:space="preserve">(a) </w:t>
      </w:r>
      <w:r>
        <w:t>for cause at any time</w:t>
      </w:r>
      <w:r w:rsidR="00FC233A">
        <w:t>,</w:t>
      </w:r>
      <w:r>
        <w:t xml:space="preserve"> or </w:t>
      </w:r>
      <w:r w:rsidR="0094597C">
        <w:t xml:space="preserve">(b) </w:t>
      </w:r>
      <w:r>
        <w:t xml:space="preserve">for nonpayment after the expiration of the </w:t>
      </w:r>
      <w:r w:rsidR="00465DCF">
        <w:t xml:space="preserve">new </w:t>
      </w:r>
      <w:r>
        <w:t>Grace Period</w:t>
      </w:r>
      <w:r w:rsidR="00FC233A">
        <w:t xml:space="preserve"> on</w:t>
      </w:r>
      <w:r>
        <w:t xml:space="preserve"> February 28, 2022. </w:t>
      </w:r>
    </w:p>
    <w:p w14:paraId="0D78C648" w14:textId="63098C92" w:rsidR="00A973BB" w:rsidRDefault="00A973BB"/>
    <w:p w14:paraId="0062ABA3" w14:textId="248DC26D" w:rsidR="003D7BA4" w:rsidRPr="00302D0F" w:rsidRDefault="003D7BA4">
      <w:pPr>
        <w:rPr>
          <w:b/>
          <w:bCs/>
          <w:i/>
          <w:iCs/>
        </w:rPr>
      </w:pPr>
      <w:r w:rsidRPr="00302D0F">
        <w:rPr>
          <w:b/>
          <w:bCs/>
          <w:i/>
          <w:iCs/>
        </w:rPr>
        <w:t xml:space="preserve">What </w:t>
      </w:r>
      <w:r w:rsidR="002939E7" w:rsidRPr="00302D0F">
        <w:rPr>
          <w:b/>
          <w:bCs/>
          <w:i/>
          <w:iCs/>
        </w:rPr>
        <w:t xml:space="preserve">did </w:t>
      </w:r>
      <w:r w:rsidR="00302D0F" w:rsidRPr="00302D0F">
        <w:rPr>
          <w:b/>
          <w:bCs/>
          <w:i/>
          <w:iCs/>
        </w:rPr>
        <w:t xml:space="preserve">SB 282 </w:t>
      </w:r>
      <w:r w:rsidR="000C1C54" w:rsidRPr="00302D0F">
        <w:rPr>
          <w:b/>
          <w:bCs/>
          <w:i/>
          <w:iCs/>
        </w:rPr>
        <w:t xml:space="preserve">change from </w:t>
      </w:r>
      <w:r w:rsidR="002939E7" w:rsidRPr="00302D0F">
        <w:rPr>
          <w:b/>
          <w:bCs/>
          <w:i/>
          <w:iCs/>
        </w:rPr>
        <w:t xml:space="preserve">HB </w:t>
      </w:r>
      <w:r w:rsidR="000C1C54" w:rsidRPr="00302D0F">
        <w:rPr>
          <w:b/>
          <w:bCs/>
          <w:i/>
          <w:iCs/>
        </w:rPr>
        <w:t>4401</w:t>
      </w:r>
      <w:r w:rsidRPr="00302D0F">
        <w:rPr>
          <w:b/>
          <w:bCs/>
          <w:i/>
          <w:iCs/>
        </w:rPr>
        <w:t>?</w:t>
      </w:r>
    </w:p>
    <w:p w14:paraId="0B472E83" w14:textId="44CFFC3B" w:rsidR="003D7BA4" w:rsidRDefault="003D7BA4"/>
    <w:p w14:paraId="011DE301" w14:textId="645DE0B3" w:rsidR="003D7BA4" w:rsidRDefault="003D7BA4" w:rsidP="003D7BA4">
      <w:pPr>
        <w:pStyle w:val="ListParagraph"/>
        <w:numPr>
          <w:ilvl w:val="0"/>
          <w:numId w:val="2"/>
        </w:numPr>
      </w:pPr>
      <w:r>
        <w:t xml:space="preserve">There is no provision in SB 282 requiring any additional forms or declarations on behalf of a tenant to receive the benefit of the </w:t>
      </w:r>
      <w:r w:rsidR="00AA3FC7">
        <w:t>n</w:t>
      </w:r>
      <w:r>
        <w:t>ew Grace Period</w:t>
      </w:r>
      <w:r w:rsidR="00460028">
        <w:t xml:space="preserve"> </w:t>
      </w:r>
      <w:r w:rsidR="005B3399">
        <w:t xml:space="preserve">extending </w:t>
      </w:r>
      <w:r w:rsidR="009A5C1B">
        <w:t>to February</w:t>
      </w:r>
      <w:r w:rsidR="00460028">
        <w:t xml:space="preserve"> 28, 2022</w:t>
      </w:r>
      <w:r>
        <w:t xml:space="preserve">. Tenants who have not filled out a Declaration of Financial Hardship </w:t>
      </w:r>
      <w:r w:rsidR="00AA3FC7">
        <w:t xml:space="preserve">under </w:t>
      </w:r>
      <w:r w:rsidR="00F102FF">
        <w:t xml:space="preserve">HB </w:t>
      </w:r>
      <w:r w:rsidR="00AA3FC7">
        <w:t xml:space="preserve">4401 </w:t>
      </w:r>
      <w:r>
        <w:t xml:space="preserve">will still receive the benefit of the new </w:t>
      </w:r>
      <w:r w:rsidR="00465DCF">
        <w:t>G</w:t>
      </w:r>
      <w:r>
        <w:t xml:space="preserve">race </w:t>
      </w:r>
      <w:r w:rsidR="00465DCF">
        <w:t>P</w:t>
      </w:r>
      <w:r>
        <w:t>eriod</w:t>
      </w:r>
      <w:r w:rsidR="00AA3FC7">
        <w:t xml:space="preserve"> after July 1, 2021</w:t>
      </w:r>
      <w:r>
        <w:t xml:space="preserve">. </w:t>
      </w:r>
    </w:p>
    <w:p w14:paraId="260465E7" w14:textId="3028AD91" w:rsidR="003D7BA4" w:rsidRDefault="003D7BA4" w:rsidP="003D7BA4">
      <w:pPr>
        <w:pStyle w:val="ListParagraph"/>
        <w:numPr>
          <w:ilvl w:val="1"/>
          <w:numId w:val="2"/>
        </w:numPr>
      </w:pPr>
      <w:r>
        <w:t xml:space="preserve">Note: Tenants should still be encouraged to fill out the Declaration </w:t>
      </w:r>
      <w:r w:rsidR="00850258">
        <w:t xml:space="preserve">prior to June 30, </w:t>
      </w:r>
      <w:r w:rsidR="00B935CB">
        <w:t>2021,</w:t>
      </w:r>
      <w:r w:rsidR="00850258">
        <w:t xml:space="preserve"> </w:t>
      </w:r>
      <w:r>
        <w:t xml:space="preserve">if a landlord is seeking compensation from the state’s Landlord Compensation Fund. </w:t>
      </w:r>
    </w:p>
    <w:p w14:paraId="6330D0C1" w14:textId="40502643" w:rsidR="000F2976" w:rsidRPr="00D3640C" w:rsidRDefault="003D7BA4" w:rsidP="006E3727">
      <w:pPr>
        <w:pStyle w:val="ListParagraph"/>
        <w:numPr>
          <w:ilvl w:val="1"/>
          <w:numId w:val="2"/>
        </w:numPr>
        <w:rPr>
          <w:i/>
          <w:iCs/>
        </w:rPr>
      </w:pPr>
      <w:r>
        <w:t xml:space="preserve">Round Three of the Landlord Compensation Fund will allow landlords to seek reimbursement for tenants who have moved out during the </w:t>
      </w:r>
      <w:r w:rsidR="005F135D">
        <w:t>E</w:t>
      </w:r>
      <w:r>
        <w:t xml:space="preserve">mergency </w:t>
      </w:r>
      <w:r w:rsidR="005F135D">
        <w:t>P</w:t>
      </w:r>
      <w:r>
        <w:t xml:space="preserve">eriod but left behind a </w:t>
      </w:r>
      <w:r w:rsidR="005F135D">
        <w:t>N</w:t>
      </w:r>
      <w:r>
        <w:t xml:space="preserve">onpayment </w:t>
      </w:r>
      <w:r w:rsidR="005F135D">
        <w:t>B</w:t>
      </w:r>
      <w:r>
        <w:t xml:space="preserve">alance. Landlords must have a </w:t>
      </w:r>
      <w:r w:rsidR="00A15EDD">
        <w:t>Declaration of Financial Hardship and a current address for their former tenants to be considered for funding</w:t>
      </w:r>
    </w:p>
    <w:p w14:paraId="23FFC7AC" w14:textId="10039245" w:rsidR="00850258" w:rsidRDefault="00850258" w:rsidP="00A344DD">
      <w:pPr>
        <w:pStyle w:val="ListParagraph"/>
        <w:numPr>
          <w:ilvl w:val="1"/>
          <w:numId w:val="2"/>
        </w:numPr>
      </w:pPr>
      <w:r>
        <w:lastRenderedPageBreak/>
        <w:t>No</w:t>
      </w:r>
      <w:r w:rsidR="008F494A">
        <w:t>-</w:t>
      </w:r>
      <w:r w:rsidR="000F2976">
        <w:t>c</w:t>
      </w:r>
      <w:r>
        <w:t xml:space="preserve">ause </w:t>
      </w:r>
      <w:r w:rsidR="000F2976">
        <w:t>terminations and e</w:t>
      </w:r>
      <w:r>
        <w:t xml:space="preserve">victions are </w:t>
      </w:r>
      <w:r w:rsidR="000F2976">
        <w:t>allowed beginning July 1, 2021. If, for the purposes of a no</w:t>
      </w:r>
      <w:r w:rsidR="008F494A">
        <w:t>-</w:t>
      </w:r>
      <w:r w:rsidR="000F2976">
        <w:t xml:space="preserve">cause termination, the first year of occupancy would end after April 1, </w:t>
      </w:r>
      <w:r w:rsidR="00B935CB">
        <w:t>2020,</w:t>
      </w:r>
      <w:r w:rsidR="000F2976">
        <w:t xml:space="preserve"> but before August 31, 2021, the “first year of occupancy” is extended to mean a period lasting until August 31, 2021. </w:t>
      </w:r>
    </w:p>
    <w:p w14:paraId="470FA884" w14:textId="77777777" w:rsidR="00AA0DD7" w:rsidRDefault="00AA0DD7" w:rsidP="00AA0DD7">
      <w:pPr>
        <w:pStyle w:val="ListParagraph"/>
        <w:ind w:left="1440"/>
      </w:pPr>
    </w:p>
    <w:p w14:paraId="62F4144B" w14:textId="02CA145F" w:rsidR="00AE7834" w:rsidRDefault="00AE7834" w:rsidP="00AE7834">
      <w:pPr>
        <w:pStyle w:val="ListParagraph"/>
        <w:numPr>
          <w:ilvl w:val="0"/>
          <w:numId w:val="2"/>
        </w:numPr>
      </w:pPr>
      <w:r>
        <w:t>Landlords may still issue an optional written notice reminding a tenant of their outstanding nonpayment balance. The content of this notice has changed slightly.</w:t>
      </w:r>
    </w:p>
    <w:p w14:paraId="1D7C2707" w14:textId="740F29AB" w:rsidR="00AE7834" w:rsidRDefault="00AE7834" w:rsidP="00AE7834">
      <w:pPr>
        <w:pStyle w:val="ListParagraph"/>
        <w:numPr>
          <w:ilvl w:val="1"/>
          <w:numId w:val="2"/>
        </w:numPr>
      </w:pPr>
      <w:r>
        <w:t xml:space="preserve">Notice </w:t>
      </w:r>
      <w:r w:rsidRPr="00AE7834">
        <w:rPr>
          <w:u w:val="single"/>
        </w:rPr>
        <w:t>must</w:t>
      </w:r>
      <w:r>
        <w:t xml:space="preserve"> </w:t>
      </w:r>
      <w:r w:rsidR="00AA3FC7">
        <w:t>state</w:t>
      </w:r>
      <w:r>
        <w:t xml:space="preserve"> that the tenant continues to owe debt that accrued between April 1, </w:t>
      </w:r>
      <w:r w:rsidR="00B935CB">
        <w:t>2020,</w:t>
      </w:r>
      <w:r>
        <w:t xml:space="preserve"> and June 30, 2021.</w:t>
      </w:r>
    </w:p>
    <w:p w14:paraId="5061A29A" w14:textId="1C1BF22E" w:rsidR="00AE7834" w:rsidRDefault="00AE7834" w:rsidP="00AE7834">
      <w:pPr>
        <w:pStyle w:val="ListParagraph"/>
        <w:numPr>
          <w:ilvl w:val="1"/>
          <w:numId w:val="2"/>
        </w:numPr>
      </w:pPr>
      <w:r>
        <w:t xml:space="preserve">It also </w:t>
      </w:r>
      <w:r w:rsidR="00AA3FC7" w:rsidRPr="00AA3FC7">
        <w:rPr>
          <w:u w:val="single"/>
        </w:rPr>
        <w:t>must</w:t>
      </w:r>
      <w:r w:rsidR="00AA3FC7">
        <w:t xml:space="preserve"> </w:t>
      </w:r>
      <w:r>
        <w:t xml:space="preserve">include a statement that eviction for nonpayment of rent charges and fees accrued between April 1, </w:t>
      </w:r>
      <w:r w:rsidR="00B935CB">
        <w:t>2020,</w:t>
      </w:r>
      <w:r>
        <w:t xml:space="preserve"> and June 30, </w:t>
      </w:r>
      <w:r w:rsidR="00B935CB">
        <w:t>2021,</w:t>
      </w:r>
      <w:r>
        <w:t xml:space="preserve"> is not allowed before February 28, 2022.</w:t>
      </w:r>
    </w:p>
    <w:p w14:paraId="0DDB42F7" w14:textId="784C8723" w:rsidR="00AE7834" w:rsidRDefault="00AE7834" w:rsidP="00AE7834">
      <w:pPr>
        <w:pStyle w:val="ListParagraph"/>
        <w:numPr>
          <w:ilvl w:val="1"/>
          <w:numId w:val="2"/>
        </w:numPr>
      </w:pPr>
      <w:r>
        <w:t xml:space="preserve">The notice </w:t>
      </w:r>
      <w:r w:rsidRPr="001A093F">
        <w:rPr>
          <w:u w:val="single"/>
        </w:rPr>
        <w:t>may</w:t>
      </w:r>
      <w:r>
        <w:t xml:space="preserve"> include</w:t>
      </w:r>
      <w:r w:rsidR="001A093F">
        <w:t>:</w:t>
      </w:r>
    </w:p>
    <w:p w14:paraId="2D45A872" w14:textId="33BDF201" w:rsidR="00AE7834" w:rsidRDefault="00AE7834" w:rsidP="00AE7834">
      <w:pPr>
        <w:pStyle w:val="ListParagraph"/>
        <w:numPr>
          <w:ilvl w:val="2"/>
          <w:numId w:val="2"/>
        </w:numPr>
      </w:pPr>
      <w:r>
        <w:t>Information regarding tenant resources</w:t>
      </w:r>
      <w:r w:rsidR="00AB6F40">
        <w:t>;</w:t>
      </w:r>
      <w:r>
        <w:t xml:space="preserve"> </w:t>
      </w:r>
    </w:p>
    <w:p w14:paraId="065C57A7" w14:textId="7726937E" w:rsidR="00AE7834" w:rsidRDefault="00AE7834" w:rsidP="00AE7834">
      <w:pPr>
        <w:pStyle w:val="ListParagraph"/>
        <w:numPr>
          <w:ilvl w:val="2"/>
          <w:numId w:val="2"/>
        </w:numPr>
      </w:pPr>
      <w:r>
        <w:t xml:space="preserve">Information on a voluntary payment plan. If the landlord offers a voluntary payment plan, </w:t>
      </w:r>
      <w:r w:rsidR="00AA3FC7">
        <w:t xml:space="preserve">the </w:t>
      </w:r>
      <w:r>
        <w:t xml:space="preserve">notice must </w:t>
      </w:r>
      <w:r w:rsidR="00AB6F40">
        <w:t xml:space="preserve">state </w:t>
      </w:r>
      <w:r>
        <w:t>that participation is strictly voluntary.</w:t>
      </w:r>
    </w:p>
    <w:p w14:paraId="4F781988" w14:textId="65DFE86C" w:rsidR="00AE7834" w:rsidRDefault="00AE7834" w:rsidP="00AE7834">
      <w:pPr>
        <w:pStyle w:val="ListParagraph"/>
        <w:numPr>
          <w:ilvl w:val="2"/>
          <w:numId w:val="2"/>
        </w:numPr>
      </w:pPr>
      <w:r>
        <w:t>A request that the tenant contact the landlord about the voluntary repayment plan.</w:t>
      </w:r>
    </w:p>
    <w:p w14:paraId="59E470C5" w14:textId="77777777" w:rsidR="00AA0DD7" w:rsidRDefault="00AA0DD7" w:rsidP="00AA0DD7">
      <w:pPr>
        <w:pStyle w:val="ListParagraph"/>
        <w:ind w:left="2160"/>
      </w:pPr>
    </w:p>
    <w:p w14:paraId="02B1463B" w14:textId="182B40A9" w:rsidR="00AA0DD7" w:rsidRDefault="00AA0DD7" w:rsidP="00AA0DD7">
      <w:pPr>
        <w:pStyle w:val="ListParagraph"/>
        <w:numPr>
          <w:ilvl w:val="0"/>
          <w:numId w:val="2"/>
        </w:numPr>
      </w:pPr>
      <w:r>
        <w:t>Any termination notices for failure to pay rent (</w:t>
      </w:r>
      <w:hyperlink r:id="rId13" w:history="1">
        <w:r w:rsidRPr="00652B9B">
          <w:rPr>
            <w:rStyle w:val="Hyperlink"/>
          </w:rPr>
          <w:t>ORS 90.394</w:t>
        </w:r>
      </w:hyperlink>
      <w:r w:rsidR="00931705">
        <w:t xml:space="preserve"> Termination of tenancy for failure to pay rent</w:t>
      </w:r>
      <w:r>
        <w:t xml:space="preserve">) </w:t>
      </w:r>
      <w:r w:rsidRPr="00494B3B">
        <w:rPr>
          <w:u w:val="single"/>
        </w:rPr>
        <w:t>must</w:t>
      </w:r>
      <w:r>
        <w:t xml:space="preserve"> state that</w:t>
      </w:r>
      <w:r w:rsidR="00AA3FC7">
        <w:t>:</w:t>
      </w:r>
    </w:p>
    <w:p w14:paraId="41C22EE8" w14:textId="193AC6B9" w:rsidR="00AA0DD7" w:rsidRDefault="00AA0DD7" w:rsidP="00AA0DD7">
      <w:pPr>
        <w:pStyle w:val="ListParagraph"/>
        <w:numPr>
          <w:ilvl w:val="1"/>
          <w:numId w:val="2"/>
        </w:numPr>
      </w:pPr>
      <w:r>
        <w:t xml:space="preserve">Eviction for nonpayment of rent, charges and fees that accrued on and after April 1, 2020, and before June 30, 2021, is </w:t>
      </w:r>
      <w:r w:rsidRPr="00931705">
        <w:rPr>
          <w:u w:val="single"/>
        </w:rPr>
        <w:t>not</w:t>
      </w:r>
      <w:r>
        <w:t xml:space="preserve"> allowed before February 28, 2022; and</w:t>
      </w:r>
    </w:p>
    <w:p w14:paraId="15345C7B" w14:textId="6124DF12" w:rsidR="000C1C54" w:rsidRDefault="00AA0DD7" w:rsidP="000C1C54">
      <w:pPr>
        <w:pStyle w:val="ListParagraph"/>
        <w:numPr>
          <w:ilvl w:val="1"/>
          <w:numId w:val="2"/>
        </w:numPr>
      </w:pPr>
      <w:r>
        <w:t xml:space="preserve">Information regarding tenant resources is available at </w:t>
      </w:r>
      <w:hyperlink r:id="rId14" w:history="1">
        <w:r w:rsidR="000C1C54" w:rsidRPr="009E4946">
          <w:rPr>
            <w:rStyle w:val="Hyperlink"/>
          </w:rPr>
          <w:t>www.211info.org</w:t>
        </w:r>
      </w:hyperlink>
    </w:p>
    <w:p w14:paraId="5E8E8CFB" w14:textId="77777777" w:rsidR="00AA3FC7" w:rsidRDefault="00AA3FC7" w:rsidP="00AA3FC7">
      <w:pPr>
        <w:pStyle w:val="ListParagraph"/>
        <w:ind w:left="1440"/>
      </w:pPr>
    </w:p>
    <w:p w14:paraId="6080C6F1" w14:textId="7CF084FE" w:rsidR="000C1DB1" w:rsidRDefault="000C1C54" w:rsidP="00D017F9">
      <w:pPr>
        <w:pStyle w:val="ListParagraph"/>
        <w:numPr>
          <w:ilvl w:val="0"/>
          <w:numId w:val="2"/>
        </w:numPr>
      </w:pPr>
      <w:r>
        <w:t xml:space="preserve">Statute of limitations </w:t>
      </w:r>
      <w:r w:rsidR="00850258">
        <w:t xml:space="preserve">for claims based on a tenant’s nonpayment or </w:t>
      </w:r>
      <w:r w:rsidR="000C1DB1">
        <w:t>N</w:t>
      </w:r>
      <w:r w:rsidR="00850258">
        <w:t xml:space="preserve">onpayment </w:t>
      </w:r>
      <w:r w:rsidR="000C1DB1">
        <w:t>B</w:t>
      </w:r>
      <w:r w:rsidR="00850258">
        <w:t xml:space="preserve">alance is tolled </w:t>
      </w:r>
      <w:r w:rsidR="00FF206D">
        <w:t xml:space="preserve">(i.e., suspended) </w:t>
      </w:r>
      <w:r w:rsidR="00850258">
        <w:t>until March 1, 2022.</w:t>
      </w:r>
      <w:r w:rsidR="00AA3FC7">
        <w:t xml:space="preserve"> </w:t>
      </w:r>
    </w:p>
    <w:p w14:paraId="54B31E26" w14:textId="77777777" w:rsidR="000C1DB1" w:rsidRDefault="000C1DB1" w:rsidP="000C1DB1">
      <w:pPr>
        <w:pStyle w:val="ListParagraph"/>
        <w:ind w:left="360"/>
      </w:pPr>
    </w:p>
    <w:p w14:paraId="1644DC82" w14:textId="475CF86C" w:rsidR="000C1C54" w:rsidRDefault="00FE2F44" w:rsidP="00D017F9">
      <w:pPr>
        <w:pStyle w:val="ListParagraph"/>
        <w:numPr>
          <w:ilvl w:val="0"/>
          <w:numId w:val="2"/>
        </w:numPr>
      </w:pPr>
      <w:r>
        <w:t xml:space="preserve">Note: The above changes will expire </w:t>
      </w:r>
      <w:r w:rsidR="00B935CB">
        <w:t>in</w:t>
      </w:r>
      <w:r>
        <w:t xml:space="preserve"> March 2022.</w:t>
      </w:r>
    </w:p>
    <w:p w14:paraId="0C40EE28" w14:textId="04FE64AE" w:rsidR="000C1C54" w:rsidRDefault="000C1C54" w:rsidP="000C1C54">
      <w:pPr>
        <w:rPr>
          <w:i/>
          <w:iCs/>
        </w:rPr>
      </w:pPr>
    </w:p>
    <w:p w14:paraId="2E6912F8" w14:textId="751E8C74" w:rsidR="001D7C06" w:rsidRPr="001D7C06" w:rsidRDefault="001D7C06" w:rsidP="000C1C54">
      <w:pPr>
        <w:rPr>
          <w:b/>
          <w:bCs/>
          <w:i/>
          <w:iCs/>
        </w:rPr>
      </w:pPr>
      <w:r w:rsidRPr="001D7C06">
        <w:rPr>
          <w:b/>
          <w:bCs/>
          <w:i/>
          <w:iCs/>
        </w:rPr>
        <w:t>Reporting to Consumer Credit Agency</w:t>
      </w:r>
      <w:r w:rsidR="00D27FF2">
        <w:rPr>
          <w:b/>
          <w:bCs/>
          <w:i/>
          <w:iCs/>
        </w:rPr>
        <w:t xml:space="preserve"> – effective beginning May 19, 2021</w:t>
      </w:r>
    </w:p>
    <w:p w14:paraId="56E0B2D0" w14:textId="4D5E194D" w:rsidR="000C1C54" w:rsidRDefault="00850258" w:rsidP="000C1C54">
      <w:pPr>
        <w:pStyle w:val="ListParagraph"/>
        <w:numPr>
          <w:ilvl w:val="0"/>
          <w:numId w:val="3"/>
        </w:numPr>
      </w:pPr>
      <w:r>
        <w:t xml:space="preserve">Landlords may not report </w:t>
      </w:r>
      <w:r w:rsidR="00E073F1">
        <w:t xml:space="preserve">a </w:t>
      </w:r>
      <w:r>
        <w:t>tenant</w:t>
      </w:r>
      <w:r w:rsidR="00E073F1">
        <w:t>’</w:t>
      </w:r>
      <w:r>
        <w:t xml:space="preserve">s </w:t>
      </w:r>
      <w:r w:rsidR="000C1DB1">
        <w:t>N</w:t>
      </w:r>
      <w:r>
        <w:t xml:space="preserve">onpayment </w:t>
      </w:r>
      <w:r w:rsidR="009A5C1B">
        <w:t>B</w:t>
      </w:r>
      <w:r w:rsidR="005D3866">
        <w:t>alance</w:t>
      </w:r>
      <w:r>
        <w:t xml:space="preserve"> accruing between April 1, </w:t>
      </w:r>
      <w:r w:rsidR="00B935CB">
        <w:t>2020,</w:t>
      </w:r>
      <w:r>
        <w:t xml:space="preserve"> </w:t>
      </w:r>
      <w:r w:rsidR="00494B3B">
        <w:t>and</w:t>
      </w:r>
      <w:r>
        <w:t xml:space="preserve"> Ju</w:t>
      </w:r>
      <w:r w:rsidR="00494B3B">
        <w:t>ly 1</w:t>
      </w:r>
      <w:r>
        <w:t xml:space="preserve">, </w:t>
      </w:r>
      <w:r w:rsidR="00B935CB">
        <w:t>2021,</w:t>
      </w:r>
      <w:r>
        <w:t xml:space="preserve"> to any consumer credit reporting agency.</w:t>
      </w:r>
    </w:p>
    <w:p w14:paraId="31299BC9" w14:textId="3CC27984" w:rsidR="00850258" w:rsidRDefault="00850258" w:rsidP="00850258">
      <w:pPr>
        <w:pStyle w:val="ListParagraph"/>
        <w:numPr>
          <w:ilvl w:val="1"/>
          <w:numId w:val="3"/>
        </w:numPr>
      </w:pPr>
      <w:r>
        <w:t xml:space="preserve">This is a change from the prior language which only </w:t>
      </w:r>
      <w:r w:rsidR="00B60E1A">
        <w:t xml:space="preserve">prohibited </w:t>
      </w:r>
      <w:r>
        <w:t xml:space="preserve"> reporting during the Emergency and Grace Periods. </w:t>
      </w:r>
    </w:p>
    <w:p w14:paraId="3F53C69F" w14:textId="68F44B20" w:rsidR="00850258" w:rsidRDefault="00850258" w:rsidP="001D7C06"/>
    <w:p w14:paraId="54B52C3A" w14:textId="4C8D358D" w:rsidR="00850258" w:rsidRPr="001D7C06" w:rsidRDefault="001D7C06" w:rsidP="001D7C06">
      <w:pPr>
        <w:rPr>
          <w:b/>
          <w:bCs/>
          <w:i/>
          <w:iCs/>
        </w:rPr>
      </w:pPr>
      <w:r w:rsidRPr="001D7C06">
        <w:rPr>
          <w:b/>
          <w:bCs/>
          <w:i/>
          <w:iCs/>
        </w:rPr>
        <w:t>T</w:t>
      </w:r>
      <w:r w:rsidR="00850258" w:rsidRPr="001D7C06">
        <w:rPr>
          <w:b/>
          <w:bCs/>
          <w:i/>
          <w:iCs/>
        </w:rPr>
        <w:t>enant Screening</w:t>
      </w:r>
      <w:r w:rsidR="000F2976" w:rsidRPr="001D7C06">
        <w:rPr>
          <w:b/>
          <w:bCs/>
          <w:i/>
          <w:iCs/>
        </w:rPr>
        <w:t xml:space="preserve"> (the following are chan</w:t>
      </w:r>
      <w:r w:rsidR="000F2976" w:rsidRPr="00F31EDF">
        <w:rPr>
          <w:b/>
          <w:bCs/>
          <w:i/>
          <w:iCs/>
        </w:rPr>
        <w:t xml:space="preserve">ges to </w:t>
      </w:r>
      <w:hyperlink r:id="rId15" w:history="1">
        <w:r w:rsidR="000F2976" w:rsidRPr="00F31EDF">
          <w:rPr>
            <w:rStyle w:val="Hyperlink"/>
            <w:b/>
            <w:bCs/>
            <w:i/>
            <w:iCs/>
          </w:rPr>
          <w:t>ORS 90.303</w:t>
        </w:r>
      </w:hyperlink>
      <w:r w:rsidR="0039023F" w:rsidRPr="00F31EDF">
        <w:rPr>
          <w:b/>
          <w:bCs/>
          <w:i/>
          <w:iCs/>
        </w:rPr>
        <w:t xml:space="preserve"> </w:t>
      </w:r>
      <w:r w:rsidR="00F31EDF" w:rsidRPr="00F31EDF">
        <w:rPr>
          <w:b/>
          <w:bCs/>
          <w:i/>
          <w:iCs/>
        </w:rPr>
        <w:t>Evaluation of applicant</w:t>
      </w:r>
      <w:r w:rsidR="000F2976" w:rsidRPr="00F31EDF">
        <w:rPr>
          <w:b/>
          <w:bCs/>
          <w:i/>
          <w:iCs/>
        </w:rPr>
        <w:t>)</w:t>
      </w:r>
      <w:r w:rsidR="00D27FF2" w:rsidRPr="00D27FF2">
        <w:rPr>
          <w:b/>
          <w:bCs/>
          <w:i/>
          <w:iCs/>
        </w:rPr>
        <w:t xml:space="preserve"> </w:t>
      </w:r>
      <w:r w:rsidR="00D27FF2">
        <w:rPr>
          <w:b/>
          <w:bCs/>
          <w:i/>
          <w:iCs/>
        </w:rPr>
        <w:t>– effective beginning May 19, 2021</w:t>
      </w:r>
    </w:p>
    <w:p w14:paraId="4767CFC1" w14:textId="11A1724A" w:rsidR="00850258" w:rsidRDefault="00850258" w:rsidP="001D7C06">
      <w:pPr>
        <w:pStyle w:val="ListParagraph"/>
        <w:numPr>
          <w:ilvl w:val="0"/>
          <w:numId w:val="3"/>
        </w:numPr>
      </w:pPr>
      <w:r>
        <w:t>Landlords may not</w:t>
      </w:r>
      <w:r w:rsidR="00E11A83">
        <w:t>, while evaluating an applicant,</w:t>
      </w:r>
      <w:r>
        <w:t xml:space="preserve"> </w:t>
      </w:r>
      <w:r w:rsidR="00D7789A">
        <w:t xml:space="preserve">consider </w:t>
      </w:r>
      <w:r>
        <w:t xml:space="preserve">any general judgments on an action to recover possession (FED) entered against a potential tenant </w:t>
      </w:r>
      <w:r w:rsidR="00494B3B">
        <w:t>for</w:t>
      </w:r>
      <w:r>
        <w:t xml:space="preserve"> that arose on or after April 1, 2020, and before March 1, 2022</w:t>
      </w:r>
      <w:r w:rsidR="00E11A83">
        <w:t>;</w:t>
      </w:r>
    </w:p>
    <w:p w14:paraId="0983104A" w14:textId="64F44586" w:rsidR="00850258" w:rsidRDefault="00850258" w:rsidP="001D7C06">
      <w:pPr>
        <w:pStyle w:val="ListParagraph"/>
        <w:numPr>
          <w:ilvl w:val="0"/>
          <w:numId w:val="3"/>
        </w:numPr>
      </w:pPr>
      <w:r>
        <w:lastRenderedPageBreak/>
        <w:t>Landlords may not, while evaluating an applicant, consider an applicant’s unpaid rent, including rent reflected in judgments or referrals of debt to a collection agency, that accrued on or after April 1, 2020, and before March 1, 2022</w:t>
      </w:r>
      <w:r w:rsidR="00CA5894">
        <w:t>;</w:t>
      </w:r>
    </w:p>
    <w:p w14:paraId="7E9BFAAD" w14:textId="0A1C1627" w:rsidR="00372722" w:rsidRDefault="00372722" w:rsidP="001D7C06">
      <w:pPr>
        <w:pStyle w:val="ListParagraph"/>
        <w:numPr>
          <w:ilvl w:val="0"/>
          <w:numId w:val="3"/>
        </w:numPr>
      </w:pPr>
      <w:r>
        <w:t>These changes expire on January 2, 2028</w:t>
      </w:r>
      <w:r w:rsidR="00CA5894">
        <w:t>.</w:t>
      </w:r>
    </w:p>
    <w:p w14:paraId="78B23027" w14:textId="77777777" w:rsidR="000F2976" w:rsidRPr="001D7C06" w:rsidRDefault="000F2976" w:rsidP="000F2976">
      <w:pPr>
        <w:pStyle w:val="ListParagraph"/>
        <w:ind w:left="1440"/>
        <w:rPr>
          <w:b/>
          <w:bCs/>
          <w:i/>
          <w:iCs/>
        </w:rPr>
      </w:pPr>
    </w:p>
    <w:p w14:paraId="3D212A1D" w14:textId="37D8CBDF" w:rsidR="000F2976" w:rsidRPr="001D7C06" w:rsidRDefault="000F2976" w:rsidP="001D7C06">
      <w:pPr>
        <w:rPr>
          <w:b/>
          <w:bCs/>
          <w:i/>
          <w:iCs/>
        </w:rPr>
      </w:pPr>
      <w:r w:rsidRPr="001D7C06">
        <w:rPr>
          <w:b/>
          <w:bCs/>
          <w:i/>
          <w:iCs/>
        </w:rPr>
        <w:t xml:space="preserve">Setting Aside an FED Judgment (the following is a change to </w:t>
      </w:r>
      <w:hyperlink r:id="rId16" w:history="1">
        <w:r w:rsidRPr="00FE21DF">
          <w:rPr>
            <w:rStyle w:val="Hyperlink"/>
            <w:b/>
            <w:bCs/>
            <w:i/>
            <w:iCs/>
          </w:rPr>
          <w:t>ORS 105.163</w:t>
        </w:r>
      </w:hyperlink>
      <w:r w:rsidR="00FE21DF">
        <w:rPr>
          <w:b/>
          <w:bCs/>
          <w:i/>
          <w:iCs/>
        </w:rPr>
        <w:t xml:space="preserve"> Setting aside judgment</w:t>
      </w:r>
      <w:r w:rsidRPr="001D7C06">
        <w:rPr>
          <w:b/>
          <w:bCs/>
          <w:i/>
          <w:iCs/>
        </w:rPr>
        <w:t>)</w:t>
      </w:r>
      <w:r w:rsidR="00D27FF2" w:rsidRPr="00D27FF2">
        <w:rPr>
          <w:b/>
          <w:bCs/>
          <w:i/>
          <w:iCs/>
        </w:rPr>
        <w:t xml:space="preserve"> </w:t>
      </w:r>
      <w:r w:rsidR="00D27FF2">
        <w:rPr>
          <w:b/>
          <w:bCs/>
          <w:i/>
          <w:iCs/>
        </w:rPr>
        <w:t>– effective beginning May 19, 2021</w:t>
      </w:r>
    </w:p>
    <w:p w14:paraId="58F8A21C" w14:textId="02142C6B" w:rsidR="000F2976" w:rsidRPr="009A5C1B" w:rsidRDefault="000F2976" w:rsidP="001D7C06">
      <w:pPr>
        <w:pStyle w:val="ListParagraph"/>
        <w:numPr>
          <w:ilvl w:val="0"/>
          <w:numId w:val="3"/>
        </w:numPr>
      </w:pPr>
      <w:r>
        <w:t xml:space="preserve">The </w:t>
      </w:r>
      <w:r w:rsidRPr="009A5C1B">
        <w:t>legislature has allowed FED defendants to have their judgment set aside and their record sealed for certain judgments based on claims arising on or after April 1, 2020, and before March 1, 2022.</w:t>
      </w:r>
    </w:p>
    <w:p w14:paraId="7ECC0B43" w14:textId="2DFD7178" w:rsidR="00E073F1" w:rsidRPr="009A5C1B" w:rsidRDefault="00372722" w:rsidP="006A2C36">
      <w:pPr>
        <w:pStyle w:val="ListParagraph"/>
        <w:numPr>
          <w:ilvl w:val="0"/>
          <w:numId w:val="3"/>
        </w:numPr>
        <w:ind w:left="1440"/>
        <w:rPr>
          <w:b/>
          <w:bCs/>
          <w:i/>
          <w:iCs/>
        </w:rPr>
      </w:pPr>
      <w:r w:rsidRPr="009A5C1B">
        <w:t xml:space="preserve">FED defendant still must have satisfied </w:t>
      </w:r>
      <w:r w:rsidR="000C1DB1" w:rsidRPr="009A5C1B">
        <w:t xml:space="preserve">any money award included in </w:t>
      </w:r>
      <w:r w:rsidRPr="009A5C1B">
        <w:t>the judgment of restitution before their judgment is set aside</w:t>
      </w:r>
      <w:r w:rsidR="00A344DD" w:rsidRPr="009A5C1B">
        <w:t>.</w:t>
      </w:r>
      <w:r w:rsidR="009A5C1B" w:rsidRPr="009A5C1B">
        <w:t xml:space="preserve"> </w:t>
      </w:r>
      <w:r w:rsidRPr="009A5C1B">
        <w:t>These changes expire on January 2, 2028</w:t>
      </w:r>
      <w:r w:rsidR="00A344DD" w:rsidRPr="009A5C1B">
        <w:t>.</w:t>
      </w:r>
    </w:p>
    <w:p w14:paraId="5F5BB963" w14:textId="77777777" w:rsidR="00D27FF2" w:rsidRPr="00D27FF2" w:rsidRDefault="001D7C06" w:rsidP="00D27FF2">
      <w:r w:rsidRPr="009A5C1B">
        <w:rPr>
          <w:b/>
          <w:bCs/>
          <w:i/>
          <w:iCs/>
        </w:rPr>
        <w:t>Non</w:t>
      </w:r>
      <w:r w:rsidR="00494B3B" w:rsidRPr="009A5C1B">
        <w:rPr>
          <w:b/>
          <w:bCs/>
          <w:i/>
          <w:iCs/>
        </w:rPr>
        <w:t>-T</w:t>
      </w:r>
      <w:r w:rsidRPr="009A5C1B">
        <w:rPr>
          <w:b/>
          <w:bCs/>
          <w:i/>
          <w:iCs/>
        </w:rPr>
        <w:t>enant Guests</w:t>
      </w:r>
      <w:r w:rsidR="00D27FF2" w:rsidRPr="009A5C1B">
        <w:rPr>
          <w:b/>
          <w:bCs/>
          <w:i/>
          <w:iCs/>
        </w:rPr>
        <w:t>– effective beginning May</w:t>
      </w:r>
      <w:r w:rsidR="00D27FF2" w:rsidRPr="00D27FF2">
        <w:rPr>
          <w:b/>
          <w:bCs/>
          <w:i/>
          <w:iCs/>
        </w:rPr>
        <w:t xml:space="preserve"> 19, 2021</w:t>
      </w:r>
    </w:p>
    <w:p w14:paraId="2697B74E" w14:textId="59925F37" w:rsidR="001D7C06" w:rsidRDefault="001D7C06" w:rsidP="00D27FF2">
      <w:pPr>
        <w:pStyle w:val="ListParagraph"/>
        <w:numPr>
          <w:ilvl w:val="0"/>
          <w:numId w:val="4"/>
        </w:numPr>
        <w:ind w:left="720"/>
      </w:pPr>
      <w:r>
        <w:t>A guest is an individual staying temporarily, including overnight, within the dwelling at the invitation of the tenant.</w:t>
      </w:r>
    </w:p>
    <w:p w14:paraId="54D3FC54" w14:textId="3BF094CC" w:rsidR="00E073F1" w:rsidRDefault="00E073F1" w:rsidP="00D27FF2">
      <w:pPr>
        <w:pStyle w:val="ListParagraph"/>
        <w:numPr>
          <w:ilvl w:val="0"/>
          <w:numId w:val="3"/>
        </w:numPr>
      </w:pPr>
      <w:r>
        <w:t xml:space="preserve">SB 282 </w:t>
      </w:r>
      <w:r w:rsidRPr="00D3640C">
        <w:rPr>
          <w:i/>
          <w:iCs/>
          <w:u w:val="single"/>
        </w:rPr>
        <w:t>temporarily prohibits</w:t>
      </w:r>
      <w:r>
        <w:t xml:space="preserve"> a landlord from </w:t>
      </w:r>
      <w:r w:rsidR="00503875">
        <w:t>enforcing private limitations (including terminating the tenancy or assessing a fee) on the number of guests in a unit or the duration of a guest’s stay.</w:t>
      </w:r>
    </w:p>
    <w:p w14:paraId="00F3F27F" w14:textId="082EE279" w:rsidR="001D7C06" w:rsidRDefault="00D3640C" w:rsidP="00D27FF2">
      <w:pPr>
        <w:pStyle w:val="ListParagraph"/>
        <w:numPr>
          <w:ilvl w:val="1"/>
          <w:numId w:val="3"/>
        </w:numPr>
      </w:pPr>
      <w:r>
        <w:t>It a</w:t>
      </w:r>
      <w:r w:rsidR="00503875">
        <w:t xml:space="preserve">pplies only to </w:t>
      </w:r>
      <w:r w:rsidR="005046C6">
        <w:t xml:space="preserve">landlord </w:t>
      </w:r>
      <w:r w:rsidR="00503875">
        <w:t xml:space="preserve">limits on the number of guests if </w:t>
      </w:r>
      <w:r>
        <w:t xml:space="preserve">they are </w:t>
      </w:r>
      <w:r w:rsidR="005046C6">
        <w:t>less</w:t>
      </w:r>
      <w:r w:rsidR="00503875">
        <w:t xml:space="preserve"> than what is allowed by federal, state, </w:t>
      </w:r>
      <w:r w:rsidR="00494B3B">
        <w:t xml:space="preserve">or </w:t>
      </w:r>
      <w:r w:rsidR="00503875">
        <w:t>local laws</w:t>
      </w:r>
      <w:r w:rsidR="00494B3B">
        <w:t>/</w:t>
      </w:r>
      <w:r w:rsidR="00503875">
        <w:t>regulations. For example</w:t>
      </w:r>
      <w:r w:rsidR="00494B3B">
        <w:t>,</w:t>
      </w:r>
      <w:r w:rsidR="00503875">
        <w:t xml:space="preserve"> if a landlord said a unit could only contain three people, but state regulation would permit four people in the unit, the landlord may not enforce the three</w:t>
      </w:r>
      <w:r w:rsidR="009A5C1B">
        <w:t>-</w:t>
      </w:r>
      <w:r w:rsidR="005046C6">
        <w:t>person</w:t>
      </w:r>
      <w:r w:rsidR="00503875">
        <w:t xml:space="preserve"> limit.</w:t>
      </w:r>
    </w:p>
    <w:p w14:paraId="3D76E1C5" w14:textId="09B2FE20" w:rsidR="00503875" w:rsidRDefault="005046C6" w:rsidP="00D27FF2">
      <w:pPr>
        <w:pStyle w:val="ListParagraph"/>
        <w:numPr>
          <w:ilvl w:val="0"/>
          <w:numId w:val="3"/>
        </w:numPr>
      </w:pPr>
      <w:r>
        <w:t>SB 282</w:t>
      </w:r>
      <w:r w:rsidR="00503875">
        <w:t xml:space="preserve"> also allows for longer-term guest</w:t>
      </w:r>
      <w:r>
        <w:t>s</w:t>
      </w:r>
      <w:r w:rsidR="00503875">
        <w:t xml:space="preserve"> (defined as occupying the dwelling for more than 15-days in any 12</w:t>
      </w:r>
      <w:r w:rsidR="00494B3B">
        <w:t>-</w:t>
      </w:r>
      <w:r w:rsidR="00503875">
        <w:t>month period) to be subject to</w:t>
      </w:r>
      <w:r w:rsidR="00B74323">
        <w:t>:</w:t>
      </w:r>
    </w:p>
    <w:p w14:paraId="6D4E154A" w14:textId="12ABD461" w:rsidR="00503875" w:rsidRDefault="00B74323" w:rsidP="00D27FF2">
      <w:pPr>
        <w:pStyle w:val="ListParagraph"/>
        <w:numPr>
          <w:ilvl w:val="1"/>
          <w:numId w:val="3"/>
        </w:numPr>
      </w:pPr>
      <w:r>
        <w:t xml:space="preserve">Screening: </w:t>
      </w:r>
      <w:r w:rsidR="00503875">
        <w:t xml:space="preserve">The landlord may require </w:t>
      </w:r>
      <w:r w:rsidR="007853EB">
        <w:t xml:space="preserve">that </w:t>
      </w:r>
      <w:r>
        <w:t xml:space="preserve">they </w:t>
      </w:r>
      <w:r w:rsidR="00503875">
        <w:t xml:space="preserve">undergo a modified screening process which may not </w:t>
      </w:r>
      <w:r w:rsidR="00B935CB">
        <w:t>consider</w:t>
      </w:r>
      <w:r w:rsidR="00503875">
        <w:t xml:space="preserve"> creditworthiness (reports or reference) or income; and</w:t>
      </w:r>
    </w:p>
    <w:p w14:paraId="15A34CA0" w14:textId="66700BF0" w:rsidR="001D7C06" w:rsidRPr="00FE085C" w:rsidRDefault="00B74323" w:rsidP="00D27FF2">
      <w:pPr>
        <w:pStyle w:val="ListParagraph"/>
        <w:numPr>
          <w:ilvl w:val="1"/>
          <w:numId w:val="3"/>
        </w:numPr>
      </w:pPr>
      <w:r w:rsidRPr="00FE085C">
        <w:t xml:space="preserve">Temporary Occupancy Agreement: </w:t>
      </w:r>
      <w:r w:rsidR="00503875" w:rsidRPr="00FE085C">
        <w:t xml:space="preserve">The landlord </w:t>
      </w:r>
      <w:r w:rsidRPr="00FE085C">
        <w:t xml:space="preserve">may require that they </w:t>
      </w:r>
      <w:r w:rsidR="00503875" w:rsidRPr="00FE085C">
        <w:t>enter into a Temporary Occupancy Agreement</w:t>
      </w:r>
      <w:r w:rsidRPr="00FE085C">
        <w:t xml:space="preserve"> (</w:t>
      </w:r>
      <w:hyperlink r:id="rId17" w:history="1">
        <w:r w:rsidR="00503875" w:rsidRPr="006F2A13">
          <w:rPr>
            <w:rStyle w:val="Hyperlink"/>
          </w:rPr>
          <w:t>ORS 90.275</w:t>
        </w:r>
      </w:hyperlink>
      <w:r w:rsidR="00FE085C" w:rsidRPr="00FE085C">
        <w:t>)</w:t>
      </w:r>
      <w:r w:rsidR="001D7C06" w:rsidRPr="00FE085C">
        <w:t xml:space="preserve">. </w:t>
      </w:r>
      <w:r w:rsidR="007853EB" w:rsidRPr="00FE085C">
        <w:t xml:space="preserve">However, </w:t>
      </w:r>
      <w:r w:rsidR="001D7C06" w:rsidRPr="00FE085C">
        <w:t xml:space="preserve">landlord may not require that the </w:t>
      </w:r>
      <w:r w:rsidR="007853EB" w:rsidRPr="00FE085C">
        <w:t>T.O. A</w:t>
      </w:r>
      <w:r w:rsidR="001D7C06" w:rsidRPr="00FE085C">
        <w:t>greement end prior to the end of the Grace Period (February 28, 2022</w:t>
      </w:r>
      <w:r w:rsidR="006F2A13">
        <w:t>).</w:t>
      </w:r>
      <w:r w:rsidRPr="00FE085C">
        <w:t xml:space="preserve"> </w:t>
      </w:r>
    </w:p>
    <w:p w14:paraId="66B68263" w14:textId="1F74C472" w:rsidR="001D7C06" w:rsidRDefault="001D7C06" w:rsidP="00D27FF2">
      <w:pPr>
        <w:pStyle w:val="ListParagraph"/>
        <w:numPr>
          <w:ilvl w:val="0"/>
          <w:numId w:val="3"/>
        </w:numPr>
        <w:ind w:left="1080"/>
      </w:pPr>
      <w:r>
        <w:t>Termination or fees under 90.302 are available based on unacceptable conduct by the tenant’s guest, or if the guest refuses to submit to the modified screening and Temporary Occupancy Agreement.</w:t>
      </w:r>
    </w:p>
    <w:p w14:paraId="0F0D7229" w14:textId="42A7345F" w:rsidR="00FC233A" w:rsidRDefault="00FE085C" w:rsidP="00D27FF2">
      <w:pPr>
        <w:pStyle w:val="ListParagraph"/>
        <w:numPr>
          <w:ilvl w:val="0"/>
          <w:numId w:val="3"/>
        </w:numPr>
        <w:ind w:left="1080"/>
      </w:pPr>
      <w:r>
        <w:t>Acceptance of</w:t>
      </w:r>
      <w:r w:rsidR="001D7C06">
        <w:t xml:space="preserve"> payment from a non-tenant guest does </w:t>
      </w:r>
      <w:r w:rsidR="001D7C06" w:rsidRPr="007853EB">
        <w:rPr>
          <w:i/>
          <w:iCs/>
          <w:u w:val="single"/>
        </w:rPr>
        <w:t>not</w:t>
      </w:r>
      <w:r w:rsidR="001D7C06">
        <w:t xml:space="preserve"> </w:t>
      </w:r>
      <w:r>
        <w:t xml:space="preserve">create a landlord-tenant relationship </w:t>
      </w:r>
      <w:r w:rsidR="001D7C06">
        <w:t xml:space="preserve">under ORS </w:t>
      </w:r>
      <w:r w:rsidR="007853EB">
        <w:t xml:space="preserve">Chapter </w:t>
      </w:r>
      <w:r w:rsidR="001D7C06">
        <w:t>90.</w:t>
      </w:r>
    </w:p>
    <w:p w14:paraId="663D1DEA" w14:textId="32CBB927" w:rsidR="00372722" w:rsidRDefault="00FC233A" w:rsidP="00D27FF2">
      <w:pPr>
        <w:pStyle w:val="ListParagraph"/>
        <w:numPr>
          <w:ilvl w:val="0"/>
          <w:numId w:val="3"/>
        </w:numPr>
        <w:ind w:left="1080"/>
      </w:pPr>
      <w:r>
        <w:t>Regulations regarding non-tenant guests are automatically repealed on March 1, 2022.</w:t>
      </w:r>
    </w:p>
    <w:p w14:paraId="4C8ACCBF" w14:textId="15E5B59F" w:rsidR="009A5C1B" w:rsidRDefault="009A5C1B" w:rsidP="009A5C1B"/>
    <w:p w14:paraId="28755B92" w14:textId="77777777" w:rsidR="009A5C1B" w:rsidRDefault="009A5C1B" w:rsidP="009A5C1B"/>
    <w:p w14:paraId="627077E4" w14:textId="5CEB17DC" w:rsidR="007853EB" w:rsidRDefault="007853EB" w:rsidP="007853EB">
      <w:pPr>
        <w:pStyle w:val="ListParagraph"/>
      </w:pPr>
    </w:p>
    <w:tbl>
      <w:tblPr>
        <w:tblStyle w:val="TableGrid"/>
        <w:tblW w:w="0" w:type="auto"/>
        <w:tblLook w:val="04A0" w:firstRow="1" w:lastRow="0" w:firstColumn="1" w:lastColumn="0" w:noHBand="0" w:noVBand="1"/>
      </w:tblPr>
      <w:tblGrid>
        <w:gridCol w:w="4668"/>
        <w:gridCol w:w="4668"/>
      </w:tblGrid>
      <w:tr w:rsidR="00366998" w14:paraId="42C83136" w14:textId="77777777" w:rsidTr="009A5C1B">
        <w:trPr>
          <w:trHeight w:val="308"/>
        </w:trPr>
        <w:tc>
          <w:tcPr>
            <w:tcW w:w="4668" w:type="dxa"/>
            <w:vAlign w:val="center"/>
          </w:tcPr>
          <w:p w14:paraId="62B418CA" w14:textId="525B9F69" w:rsidR="00366998" w:rsidRPr="0030417B" w:rsidRDefault="00366998" w:rsidP="00FC6C10">
            <w:pPr>
              <w:pStyle w:val="ListParagraph"/>
              <w:ind w:left="0"/>
              <w:rPr>
                <w:b/>
                <w:bCs/>
              </w:rPr>
            </w:pPr>
            <w:r w:rsidRPr="0030417B">
              <w:rPr>
                <w:rFonts w:cstheme="minorHAnsi"/>
                <w:b/>
                <w:bCs/>
              </w:rPr>
              <w:lastRenderedPageBreak/>
              <w:t>Landlord Permitted Action</w:t>
            </w:r>
          </w:p>
        </w:tc>
        <w:tc>
          <w:tcPr>
            <w:tcW w:w="4668" w:type="dxa"/>
          </w:tcPr>
          <w:p w14:paraId="515AC37B" w14:textId="77777777" w:rsidR="00366998" w:rsidRDefault="00366998" w:rsidP="0030417B">
            <w:pPr>
              <w:pStyle w:val="ListParagraph"/>
              <w:ind w:left="0"/>
              <w:jc w:val="center"/>
              <w:rPr>
                <w:b/>
                <w:bCs/>
              </w:rPr>
            </w:pPr>
            <w:r w:rsidRPr="0030417B">
              <w:rPr>
                <w:b/>
                <w:bCs/>
              </w:rPr>
              <w:t>Date Permitted Under SB 282</w:t>
            </w:r>
          </w:p>
          <w:p w14:paraId="3227FAAB" w14:textId="18962DED" w:rsidR="005C6920" w:rsidRPr="005C6920" w:rsidRDefault="005C6920" w:rsidP="005C6920">
            <w:pPr>
              <w:pStyle w:val="ListParagraph"/>
              <w:ind w:left="0"/>
              <w:jc w:val="center"/>
              <w:rPr>
                <w:sz w:val="20"/>
                <w:szCs w:val="20"/>
              </w:rPr>
            </w:pPr>
            <w:r w:rsidRPr="005C6920">
              <w:rPr>
                <w:sz w:val="20"/>
                <w:szCs w:val="20"/>
              </w:rPr>
              <w:t>(</w:t>
            </w:r>
            <w:r w:rsidR="009A5C1B" w:rsidRPr="005C6920">
              <w:rPr>
                <w:sz w:val="20"/>
                <w:szCs w:val="20"/>
              </w:rPr>
              <w:t>For</w:t>
            </w:r>
            <w:r w:rsidRPr="005C6920">
              <w:rPr>
                <w:sz w:val="20"/>
                <w:szCs w:val="20"/>
              </w:rPr>
              <w:t xml:space="preserve"> any actions before July 1, 2021, consult guidance on HB 4401)</w:t>
            </w:r>
          </w:p>
        </w:tc>
      </w:tr>
      <w:tr w:rsidR="00366998" w14:paraId="29C50F05" w14:textId="77777777" w:rsidTr="009A5C1B">
        <w:trPr>
          <w:trHeight w:val="295"/>
        </w:trPr>
        <w:tc>
          <w:tcPr>
            <w:tcW w:w="4668" w:type="dxa"/>
            <w:vAlign w:val="center"/>
          </w:tcPr>
          <w:p w14:paraId="1514BC36" w14:textId="2ACBC33D" w:rsidR="00366998" w:rsidRDefault="00366998" w:rsidP="0030417B">
            <w:pPr>
              <w:pStyle w:val="ListParagraph"/>
              <w:ind w:left="0"/>
            </w:pPr>
            <w:r w:rsidRPr="00E93067">
              <w:rPr>
                <w:rFonts w:cstheme="minorHAnsi"/>
              </w:rPr>
              <w:t>Charge late fees for current month’s rent</w:t>
            </w:r>
          </w:p>
        </w:tc>
        <w:tc>
          <w:tcPr>
            <w:tcW w:w="4668" w:type="dxa"/>
            <w:vAlign w:val="center"/>
          </w:tcPr>
          <w:p w14:paraId="5785240E" w14:textId="05A29438" w:rsidR="00366998" w:rsidRDefault="00366998" w:rsidP="005C6920">
            <w:pPr>
              <w:pStyle w:val="ListParagraph"/>
              <w:ind w:left="0"/>
              <w:jc w:val="center"/>
            </w:pPr>
            <w:r>
              <w:t>July 1, 2021</w:t>
            </w:r>
          </w:p>
        </w:tc>
      </w:tr>
      <w:tr w:rsidR="00366998" w14:paraId="49F85C21" w14:textId="77777777" w:rsidTr="009A5C1B">
        <w:trPr>
          <w:trHeight w:val="927"/>
        </w:trPr>
        <w:tc>
          <w:tcPr>
            <w:tcW w:w="4668" w:type="dxa"/>
            <w:vAlign w:val="center"/>
          </w:tcPr>
          <w:p w14:paraId="07DDF5CE" w14:textId="79E3FCAE" w:rsidR="00366998" w:rsidRDefault="00366998" w:rsidP="0030417B">
            <w:pPr>
              <w:pStyle w:val="ListParagraph"/>
              <w:ind w:left="0"/>
            </w:pPr>
            <w:r w:rsidRPr="00E93067">
              <w:rPr>
                <w:rFonts w:cstheme="minorHAnsi"/>
              </w:rPr>
              <w:t xml:space="preserve">Serve 72-hr termination notice for non-payment </w:t>
            </w:r>
            <w:r w:rsidRPr="002D77F2">
              <w:rPr>
                <w:rFonts w:cstheme="minorHAnsi"/>
                <w:b/>
                <w:bCs/>
                <w:i/>
                <w:iCs/>
                <w:u w:val="single"/>
              </w:rPr>
              <w:t>only</w:t>
            </w:r>
            <w:r>
              <w:rPr>
                <w:rFonts w:cstheme="minorHAnsi"/>
              </w:rPr>
              <w:t xml:space="preserve"> </w:t>
            </w:r>
            <w:r w:rsidRPr="00E93067">
              <w:rPr>
                <w:rFonts w:cstheme="minorHAnsi"/>
              </w:rPr>
              <w:t>on a week-to-week tenancy (MHCO Form 85)</w:t>
            </w:r>
          </w:p>
        </w:tc>
        <w:tc>
          <w:tcPr>
            <w:tcW w:w="4668" w:type="dxa"/>
            <w:vAlign w:val="center"/>
          </w:tcPr>
          <w:p w14:paraId="692BA225" w14:textId="6BCBA290" w:rsidR="00366998" w:rsidRDefault="00366998" w:rsidP="005C6920">
            <w:pPr>
              <w:pStyle w:val="ListParagraph"/>
              <w:ind w:left="0"/>
              <w:jc w:val="center"/>
            </w:pPr>
            <w:r>
              <w:t>July 1, 2021</w:t>
            </w:r>
          </w:p>
        </w:tc>
      </w:tr>
      <w:tr w:rsidR="00366998" w14:paraId="37935613" w14:textId="77777777" w:rsidTr="009A5C1B">
        <w:trPr>
          <w:trHeight w:val="1224"/>
        </w:trPr>
        <w:tc>
          <w:tcPr>
            <w:tcW w:w="4668" w:type="dxa"/>
            <w:vAlign w:val="center"/>
          </w:tcPr>
          <w:p w14:paraId="57F32D09" w14:textId="3F79E951" w:rsidR="00366998" w:rsidRDefault="00366998" w:rsidP="0030417B">
            <w:pPr>
              <w:pStyle w:val="ListParagraph"/>
              <w:ind w:left="0"/>
            </w:pPr>
            <w:r w:rsidRPr="00E93067">
              <w:rPr>
                <w:rFonts w:cstheme="minorHAnsi"/>
              </w:rPr>
              <w:t xml:space="preserve">Serve </w:t>
            </w:r>
            <w:r>
              <w:rPr>
                <w:rFonts w:cstheme="minorHAnsi"/>
              </w:rPr>
              <w:t>72-hour</w:t>
            </w:r>
            <w:r w:rsidRPr="00E93067">
              <w:rPr>
                <w:rFonts w:cstheme="minorHAnsi"/>
              </w:rPr>
              <w:t xml:space="preserve"> termination notice for non-payment of current month’s rent on an RV or Park-owned Home and Space Rental</w:t>
            </w:r>
            <w:r>
              <w:rPr>
                <w:rFonts w:cstheme="minorHAnsi"/>
              </w:rPr>
              <w:t xml:space="preserve"> </w:t>
            </w:r>
            <w:r w:rsidRPr="00E93067">
              <w:rPr>
                <w:rFonts w:cstheme="minorHAnsi"/>
              </w:rPr>
              <w:t>(MHCO Form 82)</w:t>
            </w:r>
            <w:r>
              <w:rPr>
                <w:rFonts w:cstheme="minorHAnsi"/>
              </w:rPr>
              <w:t xml:space="preserve"> </w:t>
            </w:r>
          </w:p>
        </w:tc>
        <w:tc>
          <w:tcPr>
            <w:tcW w:w="4668" w:type="dxa"/>
            <w:vAlign w:val="center"/>
          </w:tcPr>
          <w:p w14:paraId="1199A46C" w14:textId="40D12193" w:rsidR="00366998" w:rsidRDefault="00366998" w:rsidP="005C6920">
            <w:pPr>
              <w:pStyle w:val="ListParagraph"/>
              <w:ind w:left="0"/>
              <w:jc w:val="center"/>
            </w:pPr>
            <w:r>
              <w:t>July 1, 2021</w:t>
            </w:r>
          </w:p>
          <w:p w14:paraId="2713A450" w14:textId="1B83F899" w:rsidR="00366998" w:rsidRPr="0030417B" w:rsidRDefault="00366998" w:rsidP="005C6920">
            <w:pPr>
              <w:pStyle w:val="ListParagraph"/>
              <w:ind w:left="0"/>
              <w:jc w:val="center"/>
              <w:rPr>
                <w:sz w:val="20"/>
                <w:szCs w:val="20"/>
              </w:rPr>
            </w:pPr>
            <w:r w:rsidRPr="0030417B">
              <w:rPr>
                <w:sz w:val="20"/>
                <w:szCs w:val="20"/>
              </w:rPr>
              <w:t xml:space="preserve">[Note: after July 1, </w:t>
            </w:r>
            <w:r w:rsidR="009A5C1B" w:rsidRPr="0030417B">
              <w:rPr>
                <w:sz w:val="20"/>
                <w:szCs w:val="20"/>
              </w:rPr>
              <w:t>2021,</w:t>
            </w:r>
            <w:r w:rsidRPr="0030417B">
              <w:rPr>
                <w:sz w:val="20"/>
                <w:szCs w:val="20"/>
              </w:rPr>
              <w:t xml:space="preserve"> the moratorium’s mandated 10-day notice returns to the normal 72-hour notice under </w:t>
            </w:r>
            <w:hyperlink r:id="rId18" w:history="1">
              <w:r w:rsidRPr="0030417B">
                <w:rPr>
                  <w:rStyle w:val="Hyperlink"/>
                  <w:sz w:val="20"/>
                  <w:szCs w:val="20"/>
                </w:rPr>
                <w:t>ORS 90.394</w:t>
              </w:r>
            </w:hyperlink>
            <w:r w:rsidRPr="0030417B">
              <w:rPr>
                <w:sz w:val="20"/>
                <w:szCs w:val="20"/>
              </w:rPr>
              <w:t>]</w:t>
            </w:r>
          </w:p>
        </w:tc>
      </w:tr>
      <w:tr w:rsidR="00366998" w14:paraId="7318B1BD" w14:textId="77777777" w:rsidTr="009A5C1B">
        <w:trPr>
          <w:trHeight w:val="1224"/>
        </w:trPr>
        <w:tc>
          <w:tcPr>
            <w:tcW w:w="4668" w:type="dxa"/>
            <w:vAlign w:val="center"/>
          </w:tcPr>
          <w:p w14:paraId="2A59D58B" w14:textId="093EF6E3" w:rsidR="00366998" w:rsidRDefault="00366998" w:rsidP="0030417B">
            <w:pPr>
              <w:pStyle w:val="ListParagraph"/>
              <w:ind w:left="0"/>
            </w:pPr>
            <w:r w:rsidRPr="00E93067">
              <w:rPr>
                <w:rFonts w:cstheme="minorHAnsi"/>
              </w:rPr>
              <w:t xml:space="preserve">Serve </w:t>
            </w:r>
            <w:r>
              <w:rPr>
                <w:rFonts w:cstheme="minorHAnsi"/>
              </w:rPr>
              <w:t>72-hour</w:t>
            </w:r>
            <w:r w:rsidRPr="00E93067">
              <w:rPr>
                <w:rFonts w:cstheme="minorHAnsi"/>
              </w:rPr>
              <w:t xml:space="preserve"> termination notice for non-payment of current month’s rent on a tenant-owned Mobile Home or Floating Home</w:t>
            </w:r>
            <w:r>
              <w:rPr>
                <w:rFonts w:cstheme="minorHAnsi"/>
              </w:rPr>
              <w:t xml:space="preserve"> </w:t>
            </w:r>
            <w:r w:rsidRPr="00E93067">
              <w:rPr>
                <w:rFonts w:cstheme="minorHAnsi"/>
              </w:rPr>
              <w:t>(MHCO Form 42)</w:t>
            </w:r>
          </w:p>
        </w:tc>
        <w:tc>
          <w:tcPr>
            <w:tcW w:w="4668" w:type="dxa"/>
            <w:vAlign w:val="center"/>
          </w:tcPr>
          <w:p w14:paraId="76AC4A69" w14:textId="3201DE18" w:rsidR="00366998" w:rsidRDefault="00366998" w:rsidP="00FC6C10">
            <w:pPr>
              <w:pStyle w:val="ListParagraph"/>
              <w:ind w:left="0"/>
              <w:jc w:val="center"/>
            </w:pPr>
            <w:r>
              <w:t>July 1, 2021</w:t>
            </w:r>
          </w:p>
          <w:p w14:paraId="536209A4" w14:textId="3373B00B" w:rsidR="00366998" w:rsidRDefault="00366998" w:rsidP="00FC6C10">
            <w:pPr>
              <w:pStyle w:val="ListParagraph"/>
              <w:ind w:left="0"/>
              <w:jc w:val="center"/>
            </w:pPr>
            <w:r w:rsidRPr="0069409D">
              <w:rPr>
                <w:sz w:val="20"/>
                <w:szCs w:val="20"/>
              </w:rPr>
              <w:t xml:space="preserve">[Note: after July 1, </w:t>
            </w:r>
            <w:r w:rsidR="009A5C1B" w:rsidRPr="0069409D">
              <w:rPr>
                <w:sz w:val="20"/>
                <w:szCs w:val="20"/>
              </w:rPr>
              <w:t>2021,</w:t>
            </w:r>
            <w:r w:rsidRPr="0069409D">
              <w:rPr>
                <w:sz w:val="20"/>
                <w:szCs w:val="20"/>
              </w:rPr>
              <w:t xml:space="preserve"> the moratorium’s mandated 10-day notice returns to the normal 72-hour notice under </w:t>
            </w:r>
            <w:hyperlink r:id="rId19" w:history="1">
              <w:r w:rsidRPr="0030417B">
                <w:rPr>
                  <w:rStyle w:val="Hyperlink"/>
                  <w:sz w:val="20"/>
                  <w:szCs w:val="20"/>
                </w:rPr>
                <w:t>ORS 90.394</w:t>
              </w:r>
            </w:hyperlink>
            <w:r w:rsidRPr="0069409D">
              <w:rPr>
                <w:sz w:val="20"/>
                <w:szCs w:val="20"/>
              </w:rPr>
              <w:t>]</w:t>
            </w:r>
          </w:p>
        </w:tc>
      </w:tr>
      <w:tr w:rsidR="00366998" w14:paraId="55915DBC" w14:textId="77777777" w:rsidTr="009A5C1B">
        <w:trPr>
          <w:trHeight w:val="1224"/>
        </w:trPr>
        <w:tc>
          <w:tcPr>
            <w:tcW w:w="4668" w:type="dxa"/>
            <w:vAlign w:val="center"/>
          </w:tcPr>
          <w:p w14:paraId="1567A5B6" w14:textId="51E9148D" w:rsidR="00366998" w:rsidRDefault="00366998" w:rsidP="0030417B">
            <w:pPr>
              <w:pStyle w:val="ListParagraph"/>
              <w:ind w:left="0"/>
            </w:pPr>
            <w:r w:rsidRPr="00E93067">
              <w:rPr>
                <w:rFonts w:cstheme="minorHAnsi"/>
              </w:rPr>
              <w:t>Serve a</w:t>
            </w:r>
            <w:r>
              <w:rPr>
                <w:rFonts w:cstheme="minorHAnsi"/>
              </w:rPr>
              <w:t>ny</w:t>
            </w:r>
            <w:r w:rsidRPr="00E93067">
              <w:rPr>
                <w:rFonts w:cstheme="minorHAnsi"/>
              </w:rPr>
              <w:t xml:space="preserve"> termination notice for the “</w:t>
            </w:r>
            <w:r>
              <w:rPr>
                <w:rFonts w:cstheme="minorHAnsi"/>
              </w:rPr>
              <w:t>N</w:t>
            </w:r>
            <w:r w:rsidRPr="00E93067">
              <w:rPr>
                <w:rFonts w:cstheme="minorHAnsi"/>
              </w:rPr>
              <w:t>on</w:t>
            </w:r>
            <w:r>
              <w:rPr>
                <w:rFonts w:cstheme="minorHAnsi"/>
              </w:rPr>
              <w:t>p</w:t>
            </w:r>
            <w:r w:rsidRPr="00E93067">
              <w:rPr>
                <w:rFonts w:cstheme="minorHAnsi"/>
              </w:rPr>
              <w:t xml:space="preserve">ayment </w:t>
            </w:r>
            <w:r>
              <w:rPr>
                <w:rFonts w:cstheme="minorHAnsi"/>
              </w:rPr>
              <w:t>B</w:t>
            </w:r>
            <w:r w:rsidRPr="00E93067">
              <w:rPr>
                <w:rFonts w:cstheme="minorHAnsi"/>
              </w:rPr>
              <w:t xml:space="preserve">alance” (i.e., the rent, fees and utilities accrued </w:t>
            </w:r>
            <w:r>
              <w:rPr>
                <w:rFonts w:cstheme="minorHAnsi"/>
              </w:rPr>
              <w:t>between</w:t>
            </w:r>
            <w:r w:rsidRPr="00E93067">
              <w:rPr>
                <w:rFonts w:cstheme="minorHAnsi"/>
              </w:rPr>
              <w:t xml:space="preserve"> April 1, 2020,</w:t>
            </w:r>
            <w:r>
              <w:rPr>
                <w:rFonts w:cstheme="minorHAnsi"/>
              </w:rPr>
              <w:t xml:space="preserve"> and June 30, 2021</w:t>
            </w:r>
            <w:r w:rsidRPr="00E93067">
              <w:rPr>
                <w:rFonts w:cstheme="minorHAnsi"/>
              </w:rPr>
              <w:t>)</w:t>
            </w:r>
          </w:p>
        </w:tc>
        <w:tc>
          <w:tcPr>
            <w:tcW w:w="4668" w:type="dxa"/>
            <w:vAlign w:val="center"/>
          </w:tcPr>
          <w:p w14:paraId="444CE8F2" w14:textId="0167D6E5" w:rsidR="00366998" w:rsidRDefault="00366998" w:rsidP="005C6920">
            <w:pPr>
              <w:pStyle w:val="ListParagraph"/>
              <w:ind w:left="0"/>
              <w:jc w:val="center"/>
            </w:pPr>
            <w:r>
              <w:t>March 1, 2022</w:t>
            </w:r>
          </w:p>
        </w:tc>
      </w:tr>
      <w:tr w:rsidR="00366998" w14:paraId="22B07AAD" w14:textId="77777777" w:rsidTr="009A5C1B">
        <w:trPr>
          <w:trHeight w:val="1075"/>
        </w:trPr>
        <w:tc>
          <w:tcPr>
            <w:tcW w:w="4668" w:type="dxa"/>
            <w:vAlign w:val="center"/>
          </w:tcPr>
          <w:p w14:paraId="44C5DC9F" w14:textId="7E295AB5" w:rsidR="00366998" w:rsidRDefault="00366998" w:rsidP="0030417B">
            <w:pPr>
              <w:pStyle w:val="ListParagraph"/>
              <w:ind w:left="0"/>
            </w:pPr>
            <w:r w:rsidRPr="00E93067">
              <w:rPr>
                <w:rFonts w:cstheme="minorHAnsi"/>
              </w:rPr>
              <w:t>Refuse to renew a tenancy and/or terminate a tenancy for no-cause</w:t>
            </w:r>
          </w:p>
        </w:tc>
        <w:tc>
          <w:tcPr>
            <w:tcW w:w="4668" w:type="dxa"/>
            <w:vAlign w:val="center"/>
          </w:tcPr>
          <w:p w14:paraId="766E2928" w14:textId="0CB20275" w:rsidR="00366998" w:rsidRDefault="00366998" w:rsidP="005C6920">
            <w:pPr>
              <w:pStyle w:val="ListParagraph"/>
              <w:ind w:left="0"/>
              <w:jc w:val="center"/>
              <w:rPr>
                <w:rFonts w:cstheme="minorHAnsi"/>
              </w:rPr>
            </w:pPr>
            <w:r w:rsidRPr="00E93067">
              <w:rPr>
                <w:rFonts w:cstheme="minorHAnsi"/>
              </w:rPr>
              <w:t>July 1, 202</w:t>
            </w:r>
            <w:r>
              <w:rPr>
                <w:rFonts w:cstheme="minorHAnsi"/>
              </w:rPr>
              <w:t>1</w:t>
            </w:r>
          </w:p>
          <w:p w14:paraId="75ADAC1B" w14:textId="7AA09BFD" w:rsidR="00366998" w:rsidRPr="0030417B" w:rsidRDefault="00366998" w:rsidP="005C6920">
            <w:pPr>
              <w:pStyle w:val="ListParagraph"/>
              <w:ind w:left="0"/>
              <w:jc w:val="center"/>
              <w:rPr>
                <w:sz w:val="20"/>
                <w:szCs w:val="20"/>
              </w:rPr>
            </w:pPr>
            <w:r w:rsidRPr="0030417B">
              <w:rPr>
                <w:rFonts w:cstheme="minorHAnsi"/>
                <w:sz w:val="20"/>
                <w:szCs w:val="20"/>
              </w:rPr>
              <w:t>[Note: If first year of occupancy would have ended between April 1, 2020, and August 31, 2021, August 31, 2021, is considered the end of the first year.]</w:t>
            </w:r>
          </w:p>
        </w:tc>
      </w:tr>
      <w:tr w:rsidR="00366998" w14:paraId="4F91E175" w14:textId="77777777" w:rsidTr="009A5C1B">
        <w:trPr>
          <w:trHeight w:val="604"/>
        </w:trPr>
        <w:tc>
          <w:tcPr>
            <w:tcW w:w="4668" w:type="dxa"/>
            <w:vAlign w:val="center"/>
          </w:tcPr>
          <w:p w14:paraId="675F03DB" w14:textId="57E97F95" w:rsidR="00366998" w:rsidRDefault="00366998" w:rsidP="0030417B">
            <w:pPr>
              <w:pStyle w:val="ListParagraph"/>
              <w:ind w:left="0"/>
            </w:pPr>
            <w:r w:rsidRPr="00E93067">
              <w:rPr>
                <w:rFonts w:cstheme="minorHAnsi"/>
              </w:rPr>
              <w:t xml:space="preserve">Serve a 90-day termination notice for a </w:t>
            </w:r>
            <w:r>
              <w:rPr>
                <w:rFonts w:cstheme="minorHAnsi"/>
              </w:rPr>
              <w:t>“</w:t>
            </w:r>
            <w:r w:rsidRPr="00E93067">
              <w:rPr>
                <w:rFonts w:cstheme="minorHAnsi"/>
              </w:rPr>
              <w:t>Qualified Landlord Reason</w:t>
            </w:r>
            <w:r>
              <w:rPr>
                <w:rFonts w:cstheme="minorHAnsi"/>
              </w:rPr>
              <w:t>”</w:t>
            </w:r>
            <w:r w:rsidRPr="00E93067">
              <w:rPr>
                <w:rFonts w:cstheme="minorHAnsi"/>
              </w:rPr>
              <w:t xml:space="preserve"> (</w:t>
            </w:r>
            <w:hyperlink r:id="rId20" w:history="1">
              <w:r w:rsidRPr="0030417B">
                <w:rPr>
                  <w:rStyle w:val="Hyperlink"/>
                  <w:rFonts w:cstheme="minorHAnsi"/>
                </w:rPr>
                <w:t>ORS 90.427(5)</w:t>
              </w:r>
            </w:hyperlink>
            <w:r w:rsidRPr="00E93067">
              <w:rPr>
                <w:rFonts w:cstheme="minorHAnsi"/>
              </w:rPr>
              <w:t>)</w:t>
            </w:r>
          </w:p>
        </w:tc>
        <w:tc>
          <w:tcPr>
            <w:tcW w:w="4668" w:type="dxa"/>
            <w:vAlign w:val="center"/>
          </w:tcPr>
          <w:p w14:paraId="4323CD90" w14:textId="69FEBE46" w:rsidR="00366998" w:rsidRDefault="0030417B" w:rsidP="005C6920">
            <w:pPr>
              <w:pStyle w:val="ListParagraph"/>
              <w:ind w:left="0"/>
              <w:jc w:val="center"/>
            </w:pPr>
            <w:r>
              <w:t>Anytime</w:t>
            </w:r>
          </w:p>
        </w:tc>
      </w:tr>
      <w:tr w:rsidR="00366998" w14:paraId="3F1A67F4" w14:textId="77777777" w:rsidTr="009A5C1B">
        <w:trPr>
          <w:trHeight w:val="308"/>
        </w:trPr>
        <w:tc>
          <w:tcPr>
            <w:tcW w:w="4668" w:type="dxa"/>
            <w:vAlign w:val="center"/>
          </w:tcPr>
          <w:p w14:paraId="2A831EAC" w14:textId="4E9BA103" w:rsidR="00366998" w:rsidRDefault="0030417B" w:rsidP="0030417B">
            <w:pPr>
              <w:pStyle w:val="ListParagraph"/>
              <w:ind w:left="0"/>
            </w:pPr>
            <w:r w:rsidRPr="00E93067">
              <w:rPr>
                <w:rFonts w:cstheme="minorHAnsi"/>
              </w:rPr>
              <w:t>Terminate a tenancy for-cause</w:t>
            </w:r>
          </w:p>
        </w:tc>
        <w:tc>
          <w:tcPr>
            <w:tcW w:w="4668" w:type="dxa"/>
            <w:vAlign w:val="center"/>
          </w:tcPr>
          <w:p w14:paraId="033C65CF" w14:textId="0CD5327E" w:rsidR="00366998" w:rsidRDefault="0030417B" w:rsidP="005C6920">
            <w:pPr>
              <w:pStyle w:val="ListParagraph"/>
              <w:ind w:left="0"/>
              <w:jc w:val="center"/>
            </w:pPr>
            <w:r>
              <w:t>Anytime</w:t>
            </w:r>
          </w:p>
        </w:tc>
      </w:tr>
      <w:tr w:rsidR="00366998" w14:paraId="216EB7B1" w14:textId="77777777" w:rsidTr="009A5C1B">
        <w:trPr>
          <w:trHeight w:val="914"/>
        </w:trPr>
        <w:tc>
          <w:tcPr>
            <w:tcW w:w="4668" w:type="dxa"/>
            <w:vAlign w:val="center"/>
          </w:tcPr>
          <w:p w14:paraId="7312C67E" w14:textId="22F77D58" w:rsidR="00366998" w:rsidRDefault="0030417B" w:rsidP="0030417B">
            <w:pPr>
              <w:pStyle w:val="ListParagraph"/>
              <w:ind w:left="0"/>
            </w:pPr>
            <w:r w:rsidRPr="00E93067">
              <w:rPr>
                <w:rFonts w:cstheme="minorHAnsi"/>
              </w:rPr>
              <w:t>Report nonpayment balance to a credit reporting agency</w:t>
            </w:r>
            <w:r>
              <w:rPr>
                <w:rFonts w:cstheme="minorHAnsi"/>
              </w:rPr>
              <w:t xml:space="preserve"> for debt arising between April 1, 2020, and July 1, 2021</w:t>
            </w:r>
          </w:p>
        </w:tc>
        <w:tc>
          <w:tcPr>
            <w:tcW w:w="4668" w:type="dxa"/>
            <w:vAlign w:val="center"/>
          </w:tcPr>
          <w:p w14:paraId="11A6D407" w14:textId="77777777" w:rsidR="00366998" w:rsidRDefault="0030417B" w:rsidP="0030417B">
            <w:pPr>
              <w:pStyle w:val="ListParagraph"/>
              <w:ind w:left="0"/>
              <w:jc w:val="center"/>
            </w:pPr>
            <w:r>
              <w:t>Never</w:t>
            </w:r>
          </w:p>
          <w:p w14:paraId="3255D23A" w14:textId="17893BFA" w:rsidR="005C6920" w:rsidRPr="005C6920" w:rsidRDefault="005C6920" w:rsidP="005C6920">
            <w:pPr>
              <w:pStyle w:val="ListParagraph"/>
              <w:ind w:left="0"/>
              <w:jc w:val="center"/>
              <w:rPr>
                <w:sz w:val="20"/>
                <w:szCs w:val="20"/>
              </w:rPr>
            </w:pPr>
            <w:r w:rsidRPr="005C6920">
              <w:rPr>
                <w:sz w:val="20"/>
                <w:szCs w:val="20"/>
              </w:rPr>
              <w:t>[</w:t>
            </w:r>
            <w:r>
              <w:rPr>
                <w:sz w:val="20"/>
                <w:szCs w:val="20"/>
              </w:rPr>
              <w:t>N</w:t>
            </w:r>
            <w:r w:rsidRPr="005C6920">
              <w:rPr>
                <w:sz w:val="20"/>
                <w:szCs w:val="20"/>
              </w:rPr>
              <w:t xml:space="preserve">ote: prohibition on reporting Nonpayment Balance to credit agencies went into effect upon passage of SB 282 on </w:t>
            </w:r>
            <w:r>
              <w:rPr>
                <w:sz w:val="20"/>
                <w:szCs w:val="20"/>
              </w:rPr>
              <w:t xml:space="preserve">May </w:t>
            </w:r>
            <w:r w:rsidRPr="005C6920">
              <w:rPr>
                <w:sz w:val="20"/>
                <w:szCs w:val="20"/>
              </w:rPr>
              <w:t>19, 2021]</w:t>
            </w:r>
          </w:p>
        </w:tc>
      </w:tr>
      <w:tr w:rsidR="00366998" w14:paraId="75763D12" w14:textId="77777777" w:rsidTr="009A5C1B">
        <w:trPr>
          <w:trHeight w:val="618"/>
        </w:trPr>
        <w:tc>
          <w:tcPr>
            <w:tcW w:w="4668" w:type="dxa"/>
            <w:vAlign w:val="center"/>
          </w:tcPr>
          <w:p w14:paraId="2F89B2C1" w14:textId="13344962" w:rsidR="00366998" w:rsidRDefault="0030417B" w:rsidP="0030417B">
            <w:pPr>
              <w:pStyle w:val="ListParagraph"/>
              <w:ind w:left="0"/>
            </w:pPr>
            <w:r>
              <w:rPr>
                <w:rFonts w:cstheme="minorHAnsi"/>
              </w:rPr>
              <w:t>Report non-payment to a credit reporting agency for debt arising after July 1, 2021.</w:t>
            </w:r>
          </w:p>
        </w:tc>
        <w:tc>
          <w:tcPr>
            <w:tcW w:w="4668" w:type="dxa"/>
            <w:vAlign w:val="center"/>
          </w:tcPr>
          <w:p w14:paraId="509B6B75" w14:textId="1D6F4EAC" w:rsidR="00366998" w:rsidRDefault="0030417B" w:rsidP="005C6920">
            <w:pPr>
              <w:pStyle w:val="ListParagraph"/>
              <w:ind w:left="0"/>
              <w:jc w:val="center"/>
            </w:pPr>
            <w:r>
              <w:t>Anytime</w:t>
            </w:r>
          </w:p>
        </w:tc>
      </w:tr>
      <w:tr w:rsidR="00366998" w14:paraId="441646A2" w14:textId="77777777" w:rsidTr="009A5C1B">
        <w:trPr>
          <w:trHeight w:val="604"/>
        </w:trPr>
        <w:tc>
          <w:tcPr>
            <w:tcW w:w="4668" w:type="dxa"/>
            <w:vAlign w:val="center"/>
          </w:tcPr>
          <w:p w14:paraId="5411C603" w14:textId="7DA7CB59" w:rsidR="00366998" w:rsidRDefault="0030417B" w:rsidP="0030417B">
            <w:pPr>
              <w:pStyle w:val="ListParagraph"/>
              <w:ind w:left="0"/>
            </w:pPr>
            <w:r w:rsidRPr="00E93067">
              <w:rPr>
                <w:rFonts w:cstheme="minorHAnsi"/>
              </w:rPr>
              <w:t>File an action to recover the non-payment balance</w:t>
            </w:r>
          </w:p>
        </w:tc>
        <w:tc>
          <w:tcPr>
            <w:tcW w:w="4668" w:type="dxa"/>
            <w:vAlign w:val="center"/>
          </w:tcPr>
          <w:p w14:paraId="48E63F46" w14:textId="02E8319A" w:rsidR="00366998" w:rsidRDefault="0030417B" w:rsidP="005C6920">
            <w:pPr>
              <w:pStyle w:val="ListParagraph"/>
              <w:ind w:left="0"/>
              <w:jc w:val="center"/>
            </w:pPr>
            <w:r>
              <w:t>March 1, 2022</w:t>
            </w:r>
          </w:p>
        </w:tc>
      </w:tr>
    </w:tbl>
    <w:p w14:paraId="41FF3A8C" w14:textId="77777777" w:rsidR="00366998" w:rsidRDefault="00366998" w:rsidP="00366998">
      <w:pPr>
        <w:pStyle w:val="ListParagraph"/>
        <w:ind w:left="0"/>
      </w:pPr>
    </w:p>
    <w:p w14:paraId="16DDF74D" w14:textId="77777777" w:rsidR="00A2396F" w:rsidRDefault="00A2396F" w:rsidP="001B7F07"/>
    <w:bookmarkEnd w:id="0"/>
    <w:sectPr w:rsidR="00A2396F" w:rsidSect="00325AC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AD43" w14:textId="77777777" w:rsidR="00EE3964" w:rsidRDefault="00EE3964" w:rsidP="00494B3B">
      <w:r>
        <w:separator/>
      </w:r>
    </w:p>
  </w:endnote>
  <w:endnote w:type="continuationSeparator" w:id="0">
    <w:p w14:paraId="58074FDD" w14:textId="77777777" w:rsidR="00EE3964" w:rsidRDefault="00EE3964" w:rsidP="0049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385C" w14:textId="366F9157" w:rsidR="00494B3B" w:rsidRPr="00494B3B" w:rsidRDefault="00494B3B" w:rsidP="00494B3B">
    <w:pPr>
      <w:pStyle w:val="Footer"/>
      <w:jc w:val="right"/>
    </w:pPr>
    <w:r w:rsidRPr="00494B3B">
      <w:t xml:space="preserve">Page </w:t>
    </w:r>
    <w:r w:rsidRPr="00494B3B">
      <w:fldChar w:fldCharType="begin"/>
    </w:r>
    <w:r w:rsidRPr="00494B3B">
      <w:instrText xml:space="preserve"> PAGE </w:instrText>
    </w:r>
    <w:r w:rsidRPr="00494B3B">
      <w:fldChar w:fldCharType="separate"/>
    </w:r>
    <w:r w:rsidR="00C51E5A">
      <w:rPr>
        <w:noProof/>
      </w:rPr>
      <w:t>1</w:t>
    </w:r>
    <w:r w:rsidRPr="00494B3B">
      <w:fldChar w:fldCharType="end"/>
    </w:r>
    <w:r w:rsidRPr="00494B3B">
      <w:t xml:space="preserve"> of </w:t>
    </w:r>
    <w:r w:rsidR="00C51E5A">
      <w:fldChar w:fldCharType="begin"/>
    </w:r>
    <w:r w:rsidR="00C51E5A">
      <w:instrText xml:space="preserve"> NUMPAGES </w:instrText>
    </w:r>
    <w:r w:rsidR="00C51E5A">
      <w:fldChar w:fldCharType="separate"/>
    </w:r>
    <w:r w:rsidR="00C51E5A">
      <w:rPr>
        <w:noProof/>
      </w:rPr>
      <w:t>6</w:t>
    </w:r>
    <w:r w:rsidR="00C51E5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FA5AA" w14:textId="77777777" w:rsidR="00EE3964" w:rsidRDefault="00EE3964" w:rsidP="00494B3B">
      <w:r>
        <w:separator/>
      </w:r>
    </w:p>
  </w:footnote>
  <w:footnote w:type="continuationSeparator" w:id="0">
    <w:p w14:paraId="0096FD25" w14:textId="77777777" w:rsidR="00EE3964" w:rsidRDefault="00EE3964" w:rsidP="00494B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C73"/>
    <w:multiLevelType w:val="hybridMultilevel"/>
    <w:tmpl w:val="B25020E8"/>
    <w:lvl w:ilvl="0" w:tplc="88CC7B1E">
      <w:start w:val="42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86C67"/>
    <w:multiLevelType w:val="hybridMultilevel"/>
    <w:tmpl w:val="001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57C32"/>
    <w:multiLevelType w:val="multilevel"/>
    <w:tmpl w:val="B1467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19114DF"/>
    <w:multiLevelType w:val="hybridMultilevel"/>
    <w:tmpl w:val="C9B83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1E12D4"/>
    <w:multiLevelType w:val="hybridMultilevel"/>
    <w:tmpl w:val="EBB40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066EF0"/>
    <w:multiLevelType w:val="hybridMultilevel"/>
    <w:tmpl w:val="77A42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5F1312"/>
    <w:multiLevelType w:val="hybridMultilevel"/>
    <w:tmpl w:val="DD74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72B74"/>
    <w:multiLevelType w:val="hybridMultilevel"/>
    <w:tmpl w:val="97F4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AD"/>
    <w:rsid w:val="000466F0"/>
    <w:rsid w:val="000902D7"/>
    <w:rsid w:val="000A328F"/>
    <w:rsid w:val="000C1C54"/>
    <w:rsid w:val="000C1DB1"/>
    <w:rsid w:val="000F1723"/>
    <w:rsid w:val="000F2976"/>
    <w:rsid w:val="00117432"/>
    <w:rsid w:val="00152D0E"/>
    <w:rsid w:val="00154922"/>
    <w:rsid w:val="001A093F"/>
    <w:rsid w:val="001B7F07"/>
    <w:rsid w:val="001C342F"/>
    <w:rsid w:val="001D5215"/>
    <w:rsid w:val="001D7C06"/>
    <w:rsid w:val="001E2835"/>
    <w:rsid w:val="001F3741"/>
    <w:rsid w:val="001F7929"/>
    <w:rsid w:val="002701B1"/>
    <w:rsid w:val="002939E7"/>
    <w:rsid w:val="002D26A0"/>
    <w:rsid w:val="002E592B"/>
    <w:rsid w:val="00301583"/>
    <w:rsid w:val="00302D0F"/>
    <w:rsid w:val="0030417B"/>
    <w:rsid w:val="003163F1"/>
    <w:rsid w:val="00325AC5"/>
    <w:rsid w:val="0034191E"/>
    <w:rsid w:val="00356AF3"/>
    <w:rsid w:val="00366998"/>
    <w:rsid w:val="00372722"/>
    <w:rsid w:val="0039023F"/>
    <w:rsid w:val="00392B05"/>
    <w:rsid w:val="003A5E8F"/>
    <w:rsid w:val="003D6900"/>
    <w:rsid w:val="003D7BA4"/>
    <w:rsid w:val="004027D7"/>
    <w:rsid w:val="00460028"/>
    <w:rsid w:val="004613B9"/>
    <w:rsid w:val="00465DCF"/>
    <w:rsid w:val="00494B3B"/>
    <w:rsid w:val="00497E03"/>
    <w:rsid w:val="004A61CB"/>
    <w:rsid w:val="004B47BE"/>
    <w:rsid w:val="004C7200"/>
    <w:rsid w:val="00503875"/>
    <w:rsid w:val="005046C6"/>
    <w:rsid w:val="00551A6C"/>
    <w:rsid w:val="005B3399"/>
    <w:rsid w:val="005B79C2"/>
    <w:rsid w:val="005C6920"/>
    <w:rsid w:val="005C7AEE"/>
    <w:rsid w:val="005D3866"/>
    <w:rsid w:val="005F135D"/>
    <w:rsid w:val="006276A6"/>
    <w:rsid w:val="006404F6"/>
    <w:rsid w:val="00652B9B"/>
    <w:rsid w:val="0065588E"/>
    <w:rsid w:val="006632DC"/>
    <w:rsid w:val="00673238"/>
    <w:rsid w:val="0068182D"/>
    <w:rsid w:val="00685B2F"/>
    <w:rsid w:val="006A045F"/>
    <w:rsid w:val="006B39B0"/>
    <w:rsid w:val="006F2751"/>
    <w:rsid w:val="006F2A13"/>
    <w:rsid w:val="00703152"/>
    <w:rsid w:val="007248F1"/>
    <w:rsid w:val="007623BA"/>
    <w:rsid w:val="007653D9"/>
    <w:rsid w:val="007706AB"/>
    <w:rsid w:val="007757FA"/>
    <w:rsid w:val="007853EB"/>
    <w:rsid w:val="007B248C"/>
    <w:rsid w:val="007B4C19"/>
    <w:rsid w:val="007C5FF8"/>
    <w:rsid w:val="007D1A90"/>
    <w:rsid w:val="00803EA7"/>
    <w:rsid w:val="00833A84"/>
    <w:rsid w:val="00850258"/>
    <w:rsid w:val="0086211D"/>
    <w:rsid w:val="00873B01"/>
    <w:rsid w:val="008B0EAB"/>
    <w:rsid w:val="008B45A2"/>
    <w:rsid w:val="008E3713"/>
    <w:rsid w:val="008F494A"/>
    <w:rsid w:val="00910716"/>
    <w:rsid w:val="00925E0E"/>
    <w:rsid w:val="00931705"/>
    <w:rsid w:val="00935380"/>
    <w:rsid w:val="0094597C"/>
    <w:rsid w:val="00986A46"/>
    <w:rsid w:val="009A5C1B"/>
    <w:rsid w:val="009E20AD"/>
    <w:rsid w:val="009F74BB"/>
    <w:rsid w:val="00A10E2C"/>
    <w:rsid w:val="00A15EDD"/>
    <w:rsid w:val="00A16E63"/>
    <w:rsid w:val="00A20800"/>
    <w:rsid w:val="00A2396F"/>
    <w:rsid w:val="00A344DD"/>
    <w:rsid w:val="00A36A32"/>
    <w:rsid w:val="00A41E88"/>
    <w:rsid w:val="00A527A9"/>
    <w:rsid w:val="00A72A4C"/>
    <w:rsid w:val="00A829C9"/>
    <w:rsid w:val="00A973BB"/>
    <w:rsid w:val="00AA0DD7"/>
    <w:rsid w:val="00AA3FC7"/>
    <w:rsid w:val="00AB6F40"/>
    <w:rsid w:val="00AE2227"/>
    <w:rsid w:val="00AE4219"/>
    <w:rsid w:val="00AE7834"/>
    <w:rsid w:val="00AF32C5"/>
    <w:rsid w:val="00AF5792"/>
    <w:rsid w:val="00B17D34"/>
    <w:rsid w:val="00B60E1A"/>
    <w:rsid w:val="00B74323"/>
    <w:rsid w:val="00B935CB"/>
    <w:rsid w:val="00B9552C"/>
    <w:rsid w:val="00B96023"/>
    <w:rsid w:val="00BB23A1"/>
    <w:rsid w:val="00BE4ED2"/>
    <w:rsid w:val="00C16023"/>
    <w:rsid w:val="00C362E8"/>
    <w:rsid w:val="00C51E5A"/>
    <w:rsid w:val="00C52287"/>
    <w:rsid w:val="00C908F6"/>
    <w:rsid w:val="00CA5894"/>
    <w:rsid w:val="00CF300C"/>
    <w:rsid w:val="00D017F9"/>
    <w:rsid w:val="00D17A52"/>
    <w:rsid w:val="00D27FF2"/>
    <w:rsid w:val="00D3640C"/>
    <w:rsid w:val="00D43A27"/>
    <w:rsid w:val="00D7789A"/>
    <w:rsid w:val="00D818A5"/>
    <w:rsid w:val="00D830FD"/>
    <w:rsid w:val="00DA72DD"/>
    <w:rsid w:val="00DE47BF"/>
    <w:rsid w:val="00DF06CE"/>
    <w:rsid w:val="00E0717A"/>
    <w:rsid w:val="00E073F1"/>
    <w:rsid w:val="00E11A83"/>
    <w:rsid w:val="00E41E90"/>
    <w:rsid w:val="00E70F7F"/>
    <w:rsid w:val="00EA6982"/>
    <w:rsid w:val="00ED14A8"/>
    <w:rsid w:val="00EE3964"/>
    <w:rsid w:val="00EE5895"/>
    <w:rsid w:val="00F102FF"/>
    <w:rsid w:val="00F15587"/>
    <w:rsid w:val="00F220C3"/>
    <w:rsid w:val="00F31EDF"/>
    <w:rsid w:val="00F74D0D"/>
    <w:rsid w:val="00FC233A"/>
    <w:rsid w:val="00FC6C10"/>
    <w:rsid w:val="00FE085C"/>
    <w:rsid w:val="00FE21DF"/>
    <w:rsid w:val="00FE2F44"/>
    <w:rsid w:val="00FE3C27"/>
    <w:rsid w:val="00FF0C3C"/>
    <w:rsid w:val="00FF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2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FA"/>
    <w:pPr>
      <w:ind w:left="720"/>
      <w:contextualSpacing/>
    </w:pPr>
  </w:style>
  <w:style w:type="character" w:styleId="Hyperlink">
    <w:name w:val="Hyperlink"/>
    <w:basedOn w:val="DefaultParagraphFont"/>
    <w:uiPriority w:val="99"/>
    <w:unhideWhenUsed/>
    <w:rsid w:val="00AA0DD7"/>
    <w:rPr>
      <w:color w:val="0563C1" w:themeColor="hyperlink"/>
      <w:u w:val="single"/>
    </w:rPr>
  </w:style>
  <w:style w:type="character" w:customStyle="1" w:styleId="UnresolvedMention">
    <w:name w:val="Unresolved Mention"/>
    <w:basedOn w:val="DefaultParagraphFont"/>
    <w:uiPriority w:val="99"/>
    <w:semiHidden/>
    <w:unhideWhenUsed/>
    <w:rsid w:val="00AA0DD7"/>
    <w:rPr>
      <w:color w:val="605E5C"/>
      <w:shd w:val="clear" w:color="auto" w:fill="E1DFDD"/>
    </w:rPr>
  </w:style>
  <w:style w:type="paragraph" w:styleId="Header">
    <w:name w:val="header"/>
    <w:basedOn w:val="Normal"/>
    <w:link w:val="HeaderChar"/>
    <w:uiPriority w:val="99"/>
    <w:unhideWhenUsed/>
    <w:rsid w:val="00494B3B"/>
    <w:pPr>
      <w:tabs>
        <w:tab w:val="center" w:pos="4680"/>
        <w:tab w:val="right" w:pos="9360"/>
      </w:tabs>
    </w:pPr>
  </w:style>
  <w:style w:type="character" w:customStyle="1" w:styleId="HeaderChar">
    <w:name w:val="Header Char"/>
    <w:basedOn w:val="DefaultParagraphFont"/>
    <w:link w:val="Header"/>
    <w:uiPriority w:val="99"/>
    <w:rsid w:val="00494B3B"/>
  </w:style>
  <w:style w:type="paragraph" w:styleId="Footer">
    <w:name w:val="footer"/>
    <w:basedOn w:val="Normal"/>
    <w:link w:val="FooterChar"/>
    <w:uiPriority w:val="99"/>
    <w:unhideWhenUsed/>
    <w:rsid w:val="00494B3B"/>
    <w:pPr>
      <w:tabs>
        <w:tab w:val="center" w:pos="4680"/>
        <w:tab w:val="right" w:pos="9360"/>
      </w:tabs>
    </w:pPr>
  </w:style>
  <w:style w:type="character" w:customStyle="1" w:styleId="FooterChar">
    <w:name w:val="Footer Char"/>
    <w:basedOn w:val="DefaultParagraphFont"/>
    <w:link w:val="Footer"/>
    <w:uiPriority w:val="99"/>
    <w:rsid w:val="00494B3B"/>
  </w:style>
  <w:style w:type="character" w:styleId="PageNumber">
    <w:name w:val="page number"/>
    <w:basedOn w:val="DefaultParagraphFont"/>
    <w:uiPriority w:val="99"/>
    <w:semiHidden/>
    <w:unhideWhenUsed/>
    <w:rsid w:val="00494B3B"/>
  </w:style>
  <w:style w:type="table" w:styleId="TableGrid">
    <w:name w:val="Table Grid"/>
    <w:basedOn w:val="TableNormal"/>
    <w:uiPriority w:val="39"/>
    <w:rsid w:val="00A23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E592B"/>
    <w:rPr>
      <w:sz w:val="20"/>
      <w:szCs w:val="20"/>
    </w:rPr>
  </w:style>
  <w:style w:type="character" w:customStyle="1" w:styleId="FootnoteTextChar">
    <w:name w:val="Footnote Text Char"/>
    <w:basedOn w:val="DefaultParagraphFont"/>
    <w:link w:val="FootnoteText"/>
    <w:uiPriority w:val="99"/>
    <w:semiHidden/>
    <w:rsid w:val="002E592B"/>
    <w:rPr>
      <w:sz w:val="20"/>
      <w:szCs w:val="20"/>
    </w:rPr>
  </w:style>
  <w:style w:type="character" w:styleId="FootnoteReference">
    <w:name w:val="footnote reference"/>
    <w:basedOn w:val="DefaultParagraphFont"/>
    <w:uiPriority w:val="99"/>
    <w:semiHidden/>
    <w:unhideWhenUsed/>
    <w:rsid w:val="002E592B"/>
    <w:rPr>
      <w:vertAlign w:val="superscript"/>
    </w:rPr>
  </w:style>
  <w:style w:type="paragraph" w:styleId="NormalWeb">
    <w:name w:val="Normal (Web)"/>
    <w:basedOn w:val="Normal"/>
    <w:uiPriority w:val="99"/>
    <w:semiHidden/>
    <w:unhideWhenUsed/>
    <w:rsid w:val="002E592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592B"/>
    <w:rPr>
      <w:b/>
      <w:bCs/>
    </w:rPr>
  </w:style>
  <w:style w:type="character" w:styleId="Emphasis">
    <w:name w:val="Emphasis"/>
    <w:basedOn w:val="DefaultParagraphFont"/>
    <w:uiPriority w:val="20"/>
    <w:qFormat/>
    <w:rsid w:val="002E592B"/>
    <w:rPr>
      <w:i/>
      <w:iCs/>
    </w:rPr>
  </w:style>
  <w:style w:type="character" w:styleId="FollowedHyperlink">
    <w:name w:val="FollowedHyperlink"/>
    <w:basedOn w:val="DefaultParagraphFont"/>
    <w:uiPriority w:val="99"/>
    <w:semiHidden/>
    <w:unhideWhenUsed/>
    <w:rsid w:val="000A328F"/>
    <w:rPr>
      <w:color w:val="954F72" w:themeColor="followedHyperlink"/>
      <w:u w:val="single"/>
    </w:rPr>
  </w:style>
  <w:style w:type="paragraph" w:styleId="BalloonText">
    <w:name w:val="Balloon Text"/>
    <w:basedOn w:val="Normal"/>
    <w:link w:val="BalloonTextChar"/>
    <w:uiPriority w:val="99"/>
    <w:semiHidden/>
    <w:unhideWhenUsed/>
    <w:rsid w:val="00C51E5A"/>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E5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FA"/>
    <w:pPr>
      <w:ind w:left="720"/>
      <w:contextualSpacing/>
    </w:pPr>
  </w:style>
  <w:style w:type="character" w:styleId="Hyperlink">
    <w:name w:val="Hyperlink"/>
    <w:basedOn w:val="DefaultParagraphFont"/>
    <w:uiPriority w:val="99"/>
    <w:unhideWhenUsed/>
    <w:rsid w:val="00AA0DD7"/>
    <w:rPr>
      <w:color w:val="0563C1" w:themeColor="hyperlink"/>
      <w:u w:val="single"/>
    </w:rPr>
  </w:style>
  <w:style w:type="character" w:customStyle="1" w:styleId="UnresolvedMention">
    <w:name w:val="Unresolved Mention"/>
    <w:basedOn w:val="DefaultParagraphFont"/>
    <w:uiPriority w:val="99"/>
    <w:semiHidden/>
    <w:unhideWhenUsed/>
    <w:rsid w:val="00AA0DD7"/>
    <w:rPr>
      <w:color w:val="605E5C"/>
      <w:shd w:val="clear" w:color="auto" w:fill="E1DFDD"/>
    </w:rPr>
  </w:style>
  <w:style w:type="paragraph" w:styleId="Header">
    <w:name w:val="header"/>
    <w:basedOn w:val="Normal"/>
    <w:link w:val="HeaderChar"/>
    <w:uiPriority w:val="99"/>
    <w:unhideWhenUsed/>
    <w:rsid w:val="00494B3B"/>
    <w:pPr>
      <w:tabs>
        <w:tab w:val="center" w:pos="4680"/>
        <w:tab w:val="right" w:pos="9360"/>
      </w:tabs>
    </w:pPr>
  </w:style>
  <w:style w:type="character" w:customStyle="1" w:styleId="HeaderChar">
    <w:name w:val="Header Char"/>
    <w:basedOn w:val="DefaultParagraphFont"/>
    <w:link w:val="Header"/>
    <w:uiPriority w:val="99"/>
    <w:rsid w:val="00494B3B"/>
  </w:style>
  <w:style w:type="paragraph" w:styleId="Footer">
    <w:name w:val="footer"/>
    <w:basedOn w:val="Normal"/>
    <w:link w:val="FooterChar"/>
    <w:uiPriority w:val="99"/>
    <w:unhideWhenUsed/>
    <w:rsid w:val="00494B3B"/>
    <w:pPr>
      <w:tabs>
        <w:tab w:val="center" w:pos="4680"/>
        <w:tab w:val="right" w:pos="9360"/>
      </w:tabs>
    </w:pPr>
  </w:style>
  <w:style w:type="character" w:customStyle="1" w:styleId="FooterChar">
    <w:name w:val="Footer Char"/>
    <w:basedOn w:val="DefaultParagraphFont"/>
    <w:link w:val="Footer"/>
    <w:uiPriority w:val="99"/>
    <w:rsid w:val="00494B3B"/>
  </w:style>
  <w:style w:type="character" w:styleId="PageNumber">
    <w:name w:val="page number"/>
    <w:basedOn w:val="DefaultParagraphFont"/>
    <w:uiPriority w:val="99"/>
    <w:semiHidden/>
    <w:unhideWhenUsed/>
    <w:rsid w:val="00494B3B"/>
  </w:style>
  <w:style w:type="table" w:styleId="TableGrid">
    <w:name w:val="Table Grid"/>
    <w:basedOn w:val="TableNormal"/>
    <w:uiPriority w:val="39"/>
    <w:rsid w:val="00A23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E592B"/>
    <w:rPr>
      <w:sz w:val="20"/>
      <w:szCs w:val="20"/>
    </w:rPr>
  </w:style>
  <w:style w:type="character" w:customStyle="1" w:styleId="FootnoteTextChar">
    <w:name w:val="Footnote Text Char"/>
    <w:basedOn w:val="DefaultParagraphFont"/>
    <w:link w:val="FootnoteText"/>
    <w:uiPriority w:val="99"/>
    <w:semiHidden/>
    <w:rsid w:val="002E592B"/>
    <w:rPr>
      <w:sz w:val="20"/>
      <w:szCs w:val="20"/>
    </w:rPr>
  </w:style>
  <w:style w:type="character" w:styleId="FootnoteReference">
    <w:name w:val="footnote reference"/>
    <w:basedOn w:val="DefaultParagraphFont"/>
    <w:uiPriority w:val="99"/>
    <w:semiHidden/>
    <w:unhideWhenUsed/>
    <w:rsid w:val="002E592B"/>
    <w:rPr>
      <w:vertAlign w:val="superscript"/>
    </w:rPr>
  </w:style>
  <w:style w:type="paragraph" w:styleId="NormalWeb">
    <w:name w:val="Normal (Web)"/>
    <w:basedOn w:val="Normal"/>
    <w:uiPriority w:val="99"/>
    <w:semiHidden/>
    <w:unhideWhenUsed/>
    <w:rsid w:val="002E592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592B"/>
    <w:rPr>
      <w:b/>
      <w:bCs/>
    </w:rPr>
  </w:style>
  <w:style w:type="character" w:styleId="Emphasis">
    <w:name w:val="Emphasis"/>
    <w:basedOn w:val="DefaultParagraphFont"/>
    <w:uiPriority w:val="20"/>
    <w:qFormat/>
    <w:rsid w:val="002E592B"/>
    <w:rPr>
      <w:i/>
      <w:iCs/>
    </w:rPr>
  </w:style>
  <w:style w:type="character" w:styleId="FollowedHyperlink">
    <w:name w:val="FollowedHyperlink"/>
    <w:basedOn w:val="DefaultParagraphFont"/>
    <w:uiPriority w:val="99"/>
    <w:semiHidden/>
    <w:unhideWhenUsed/>
    <w:rsid w:val="000A328F"/>
    <w:rPr>
      <w:color w:val="954F72" w:themeColor="followedHyperlink"/>
      <w:u w:val="single"/>
    </w:rPr>
  </w:style>
  <w:style w:type="paragraph" w:styleId="BalloonText">
    <w:name w:val="Balloon Text"/>
    <w:basedOn w:val="Normal"/>
    <w:link w:val="BalloonTextChar"/>
    <w:uiPriority w:val="99"/>
    <w:semiHidden/>
    <w:unhideWhenUsed/>
    <w:rsid w:val="00C51E5A"/>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E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ortland.gov/phb/rental-services/helpdesk/oregon-eviction-moratorium-faq" TargetMode="External"/><Relationship Id="rId20" Type="http://schemas.openxmlformats.org/officeDocument/2006/relationships/hyperlink" Target="https://oregon.public.law/statutes/ors_90.427"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oregon.public.law/statutes/ors_90.220" TargetMode="External"/><Relationship Id="rId12" Type="http://schemas.openxmlformats.org/officeDocument/2006/relationships/hyperlink" Target="https://oregon.public.law/statutes/ors_90.302" TargetMode="External"/><Relationship Id="rId13" Type="http://schemas.openxmlformats.org/officeDocument/2006/relationships/hyperlink" Target="https://oregon.public.law/statutes/ors_90.394" TargetMode="External"/><Relationship Id="rId14" Type="http://schemas.openxmlformats.org/officeDocument/2006/relationships/hyperlink" Target="http://www.211info.org" TargetMode="External"/><Relationship Id="rId15" Type="http://schemas.openxmlformats.org/officeDocument/2006/relationships/hyperlink" Target="https://oregon.public.law/statutes/ors_90.303" TargetMode="External"/><Relationship Id="rId16" Type="http://schemas.openxmlformats.org/officeDocument/2006/relationships/hyperlink" Target="https://www.oregonlaws.org/ors/105.163" TargetMode="External"/><Relationship Id="rId17" Type="http://schemas.openxmlformats.org/officeDocument/2006/relationships/hyperlink" Target="https://oregon.public.law/statutes/ors_90.275" TargetMode="External"/><Relationship Id="rId18" Type="http://schemas.openxmlformats.org/officeDocument/2006/relationships/hyperlink" Target="https://oregon.public.law/statutes/ors_90.394" TargetMode="External"/><Relationship Id="rId19" Type="http://schemas.openxmlformats.org/officeDocument/2006/relationships/hyperlink" Target="https://oregon.public.law/statutes/ors_90.39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20542-658E-FB4B-B533-C1D7BB98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11814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skeoch</dc:creator>
  <cp:keywords/>
  <dc:description/>
  <cp:lastModifiedBy>chuck carpenter</cp:lastModifiedBy>
  <cp:revision>2</cp:revision>
  <dcterms:created xsi:type="dcterms:W3CDTF">2021-06-09T15:50:00Z</dcterms:created>
  <dcterms:modified xsi:type="dcterms:W3CDTF">2021-06-09T15:50:00Z</dcterms:modified>
</cp:coreProperties>
</file>